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015"/>
      </w:tblGrid>
      <w:tr w:rsidR="005C3C37" w14:paraId="5B4DA6AA" w14:textId="77777777">
        <w:trPr>
          <w:trHeight w:val="295"/>
          <w:jc w:val="center"/>
        </w:trPr>
        <w:tc>
          <w:tcPr>
            <w:tcW w:w="16015" w:type="dxa"/>
            <w:shd w:val="clear" w:color="auto" w:fill="5B1624"/>
            <w:tcMar>
              <w:top w:w="35" w:type="dxa"/>
              <w:left w:w="55" w:type="dxa"/>
              <w:bottom w:w="35" w:type="dxa"/>
              <w:right w:w="55" w:type="dxa"/>
            </w:tcMar>
            <w:vAlign w:val="center"/>
          </w:tcPr>
          <w:p>
            <w:pPr>
              <w:jc w:val="center"/>
            </w:pPr>
            <w:r>
              <w:rPr>
                <w:rFonts w:ascii="Times New Roman" w:hAnsi="Times New Roman"/>
                <w:b/>
                <w:sz w:val="24"/>
              </w:rPr>
              <w:t>YAKIN DOĞU ÜNİVERSİTESİ</w:t>
            </w:r>
          </w:p>
        </w:tc>
      </w:tr>
      <w:tr w:rsidR="005C3C37" w14:paraId="06B632F2" w14:textId="77777777">
        <w:trPr>
          <w:trHeight w:val="295"/>
          <w:jc w:val="center"/>
        </w:trPr>
        <w:tc>
          <w:tcPr>
            <w:tcW w:w="16015" w:type="dxa"/>
            <w:shd w:val="clear" w:color="auto" w:fill="D9D9D9"/>
            <w:tcMar>
              <w:top w:w="35" w:type="dxa"/>
              <w:left w:w="55" w:type="dxa"/>
              <w:bottom w:w="35" w:type="dxa"/>
              <w:right w:w="55" w:type="dxa"/>
            </w:tcMar>
            <w:vAlign w:val="center"/>
          </w:tcPr>
          <w:p>
            <w:pPr>
              <w:jc w:val="center"/>
            </w:pPr>
            <w:r>
              <w:rPr>
                <w:rFonts w:ascii="Times New Roman" w:hAnsi="Times New Roman"/>
                <w:b/>
                <w:sz w:val="22"/>
              </w:rPr>
              <w:t>İletişim Fakültesi İntibak ve Muafiyet Komisyonu Kararları</w:t>
            </w:r>
          </w:p>
        </w:tc>
      </w:tr>
      <w:tr w:rsidR="005C3C37" w14:paraId="57FC7A30" w14:textId="77777777">
        <w:trPr>
          <w:trHeight w:val="295"/>
          <w:jc w:val="center"/>
        </w:trPr>
        <w:tc>
          <w:tcPr>
            <w:tcW w:w="16015" w:type="dxa"/>
            <w:shd w:val="clear" w:color="auto" w:fill="D9D9D9"/>
            <w:tcMar>
              <w:top w:w="35" w:type="dxa"/>
              <w:left w:w="55" w:type="dxa"/>
              <w:bottom w:w="35" w:type="dxa"/>
              <w:right w:w="55" w:type="dxa"/>
            </w:tcMar>
            <w:vAlign w:val="center"/>
          </w:tcPr>
          <w:p>
            <w:pPr>
              <w:jc w:val="center"/>
            </w:pPr>
            <w:r>
              <w:rPr>
                <w:rFonts w:ascii="Times New Roman" w:hAnsi="Times New Roman"/>
                <w:b/>
                <w:sz w:val="22"/>
              </w:rPr>
              <w:t>2025–2026 Yılları Kararları</w:t>
            </w:r>
          </w:p>
        </w:tc>
      </w:tr>
    </w:tbl>
    <w:p w14:paraId="0BE85E2E" w14:textId="77777777" w:rsidR="005C3C37" w:rsidRDefault="005C3C37">
      <w:pPr>
        <w:spacing w:after="0" w:line="96" w:lineRule="auto"/>
      </w:pP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firstRow="1" w:lastRow="0" w:firstColumn="1" w:lastColumn="0" w:noHBand="0" w:noVBand="1"/>
      </w:tblPr>
      <w:tblGrid>
        <w:gridCol w:w="538"/>
        <w:gridCol w:w="1162"/>
        <w:gridCol w:w="1275"/>
        <w:gridCol w:w="595"/>
        <w:gridCol w:w="3458"/>
        <w:gridCol w:w="8985"/>
      </w:tblGrid>
      <w:tr w:rsidR="005C3C37" w14:paraId="16A5AFAE" w14:textId="77777777">
        <w:trPr>
          <w:tblHeader/>
          <w:jc w:val="center"/>
        </w:trPr>
        <w:tc>
          <w:tcPr>
            <w:tcW w:w="538" w:type="dxa"/>
            <w:shd w:val="clear" w:color="auto" w:fill="D9D9D9"/>
            <w:tcMar>
              <w:top w:w="35" w:type="dxa"/>
              <w:left w:w="55" w:type="dxa"/>
              <w:bottom w:w="35" w:type="dxa"/>
              <w:right w:w="55" w:type="dxa"/>
            </w:tcMar>
            <w:vAlign w:val="center"/>
          </w:tcPr>
          <w:p w14:paraId="6C71BCE9" w14:textId="77777777" w:rsidR="005C3C37" w:rsidRDefault="00000000">
            <w:pPr>
              <w:spacing w:after="0" w:line="240" w:lineRule="auto"/>
              <w:jc w:val="center"/>
            </w:pPr>
            <w:r>
              <w:rPr>
                <w:b/>
                <w:color w:val="5B1624"/>
                <w:sz w:val="13"/>
              </w:rPr>
              <w:t>Sıra</w:t>
            </w:r>
            <w:r>
              <w:rPr>
                <w:b/>
                <w:color w:val="5B1624"/>
                <w:sz w:val="13"/>
              </w:rPr>
              <w:br/>
              <w:t>No</w:t>
            </w:r>
          </w:p>
        </w:tc>
        <w:tc>
          <w:tcPr>
            <w:tcW w:w="1162" w:type="dxa"/>
            <w:shd w:val="clear" w:color="auto" w:fill="D9D9D9"/>
            <w:tcMar>
              <w:top w:w="35" w:type="dxa"/>
              <w:left w:w="55" w:type="dxa"/>
              <w:bottom w:w="35" w:type="dxa"/>
              <w:right w:w="55" w:type="dxa"/>
            </w:tcMar>
            <w:vAlign w:val="center"/>
          </w:tcPr>
          <w:p w14:paraId="62692B4E" w14:textId="77777777" w:rsidR="005C3C37" w:rsidRDefault="00000000">
            <w:pPr>
              <w:spacing w:after="0" w:line="240" w:lineRule="auto"/>
              <w:jc w:val="center"/>
            </w:pPr>
            <w:r>
              <w:rPr>
                <w:b/>
                <w:color w:val="5B1624"/>
                <w:sz w:val="13"/>
              </w:rPr>
              <w:t>Toplantı</w:t>
            </w:r>
            <w:r>
              <w:rPr>
                <w:b/>
                <w:color w:val="5B1624"/>
                <w:sz w:val="13"/>
              </w:rPr>
              <w:br/>
              <w:t>Tarihi</w:t>
            </w:r>
          </w:p>
        </w:tc>
        <w:tc>
          <w:tcPr>
            <w:tcW w:w="1275" w:type="dxa"/>
            <w:shd w:val="clear" w:color="auto" w:fill="D9D9D9"/>
            <w:tcMar>
              <w:top w:w="35" w:type="dxa"/>
              <w:left w:w="55" w:type="dxa"/>
              <w:bottom w:w="35" w:type="dxa"/>
              <w:right w:w="55" w:type="dxa"/>
            </w:tcMar>
            <w:vAlign w:val="center"/>
          </w:tcPr>
          <w:p w14:paraId="77AF487E" w14:textId="77777777" w:rsidR="005C3C37" w:rsidRDefault="00000000">
            <w:pPr>
              <w:spacing w:after="0" w:line="240" w:lineRule="auto"/>
              <w:jc w:val="center"/>
            </w:pPr>
            <w:r>
              <w:rPr>
                <w:b/>
                <w:color w:val="5B1624"/>
                <w:sz w:val="13"/>
              </w:rPr>
              <w:t>Toplantı</w:t>
            </w:r>
            <w:r>
              <w:rPr>
                <w:b/>
                <w:color w:val="5B1624"/>
                <w:sz w:val="13"/>
              </w:rPr>
              <w:br/>
              <w:t>No</w:t>
            </w:r>
          </w:p>
        </w:tc>
        <w:tc>
          <w:tcPr>
            <w:tcW w:w="595" w:type="dxa"/>
            <w:shd w:val="clear" w:color="auto" w:fill="D9D9D9"/>
            <w:tcMar>
              <w:top w:w="35" w:type="dxa"/>
              <w:left w:w="55" w:type="dxa"/>
              <w:bottom w:w="35" w:type="dxa"/>
              <w:right w:w="55" w:type="dxa"/>
            </w:tcMar>
            <w:vAlign w:val="center"/>
          </w:tcPr>
          <w:p w14:paraId="1A7CFEF7" w14:textId="77777777" w:rsidR="005C3C37" w:rsidRDefault="00000000">
            <w:pPr>
              <w:spacing w:after="0" w:line="240" w:lineRule="auto"/>
              <w:jc w:val="center"/>
            </w:pPr>
            <w:r>
              <w:rPr>
                <w:b/>
                <w:color w:val="5B1624"/>
                <w:sz w:val="13"/>
              </w:rPr>
              <w:t>Karar</w:t>
            </w:r>
            <w:r>
              <w:rPr>
                <w:b/>
                <w:color w:val="5B1624"/>
                <w:sz w:val="13"/>
              </w:rPr>
              <w:br/>
              <w:t>No</w:t>
            </w:r>
          </w:p>
        </w:tc>
        <w:tc>
          <w:tcPr>
            <w:tcW w:w="3458" w:type="dxa"/>
            <w:shd w:val="clear" w:color="auto" w:fill="D9D9D9"/>
            <w:tcMar>
              <w:top w:w="35" w:type="dxa"/>
              <w:left w:w="55" w:type="dxa"/>
              <w:bottom w:w="35" w:type="dxa"/>
              <w:right w:w="55" w:type="dxa"/>
            </w:tcMar>
            <w:vAlign w:val="center"/>
          </w:tcPr>
          <w:p w14:paraId="484E0081" w14:textId="77777777" w:rsidR="005C3C37" w:rsidRDefault="00000000">
            <w:pPr>
              <w:spacing w:after="0" w:line="240" w:lineRule="auto"/>
              <w:jc w:val="center"/>
            </w:pPr>
            <w:r>
              <w:rPr>
                <w:b/>
                <w:color w:val="5B1624"/>
                <w:sz w:val="13"/>
              </w:rPr>
              <w:t>Gündem</w:t>
            </w:r>
          </w:p>
        </w:tc>
        <w:tc>
          <w:tcPr>
            <w:tcW w:w="8985" w:type="dxa"/>
            <w:shd w:val="clear" w:color="auto" w:fill="D9D9D9"/>
            <w:tcMar>
              <w:top w:w="35" w:type="dxa"/>
              <w:left w:w="55" w:type="dxa"/>
              <w:bottom w:w="35" w:type="dxa"/>
              <w:right w:w="55" w:type="dxa"/>
            </w:tcMar>
            <w:vAlign w:val="center"/>
          </w:tcPr>
          <w:p w14:paraId="7376263C" w14:textId="77777777" w:rsidR="005C3C37" w:rsidRDefault="00000000">
            <w:pPr>
              <w:spacing w:after="0" w:line="240" w:lineRule="auto"/>
              <w:jc w:val="center"/>
            </w:pPr>
            <w:r>
              <w:rPr>
                <w:b/>
                <w:color w:val="5B1624"/>
                <w:sz w:val="13"/>
              </w:rPr>
              <w:t>Karar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01.09.2025</w:t>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2025-01</w:t>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Bölüm Başkanlıklarından gelen intibak ve muafiyet başvuruları değerlendirilerek, Görsel İletişim Tasarımı Bölümü tarafından Fakülte İntibak ve Muafiyet Komisyonu’na transfer talebi ve muaf olacağı dersler hakkında başvuruda bulunulan Eylül Küçükgürel’in on iki ve Beyzanur Şahin’in altı dersten muaf olacak şekilde transferine,</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Yakın Doğu Üniversitesi İktisadi ve İdari Bilimler Fakültesi İşletme Bölümü’nden İletişim Fakültesi Halkla İlişkiler ve Tanıtım Bölümü’ne geçiş için başvuruda bulunan Efe Çeliktaş adlı öğrencinin İntibak ve Muafiyet Komisyonu’nun onayladığı şekliyle sekiz dersten muaf olarak transferine,</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r/>
          </w:p>
        </w:tc>
        <w:tc>
          <w:tcPr>
            <w:tcW w:w="1162" w:type="dxa"/>
            <w:vMerge w:val="restart"/>
            <w:shd w:val="clear" w:color="auto" w:fill="E6E6E6"/>
            <w:tcMar>
              <w:top w:w="35" w:type="dxa"/>
              <w:left w:w="55" w:type="dxa"/>
              <w:bottom w:w="35" w:type="dxa"/>
              <w:right w:w="55" w:type="dxa"/>
            </w:tcMar>
            <w:vAlign w:val="center"/>
          </w:tcPr>
          <w:p>
            <w:r/>
          </w:p>
        </w:tc>
        <w:tc>
          <w:tcPr>
            <w:tcW w:w="1275" w:type="dxa"/>
            <w:vMerge w:val="restart"/>
            <w:shd w:val="clear" w:color="auto" w:fill="E6E6E6"/>
            <w:tcMar>
              <w:top w:w="35" w:type="dxa"/>
              <w:left w:w="55" w:type="dxa"/>
              <w:bottom w:w="35" w:type="dxa"/>
              <w:right w:w="55" w:type="dxa"/>
            </w:tcMar>
            <w:vAlign w:val="center"/>
          </w:tcPr>
          <w:p>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3</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Yakın Doğu Üniversitesi Siber Güvenlik Mühendisliği Bölümü’nden İletişim Fakültesi Halkla İlişkiler ve Tanıtım Bölümü’ne transfer talebinde bulunan Efe Özatay’ın herhangi bir ders muafiyeti olmaksızın transferine ve kararın İletişim Fakültesi Fakülte Yönetim Kurulu’na sunulmasına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w:t>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05.11.2025</w:t>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2025-02</w:t>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Bölüm Başkanlıklarından gelen intibak ve muafiyet başvuruları değerlendirilerek, Halkla İlişkiler ve Tanıtım Bölümü’ne başvuran Semih Cihangir, Chahd Alkahtani, Fajer Alkahtani, Olusegun Samson Shobowale ile Görsel İletişim Tasarımı Bölümü’ne başvuran Beyzanur Şahin ve Eylül Küçükgürel’in transfer derslerinin kabulüne ve İletişim Fakültesi Fakülte Yönetim Kurulu’na sunulmasına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15.01.2026</w:t>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2026-01</w:t>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Bölüm Başkanlıklarından gelen intibak ve muafiyet başvuruları değerlendirilerek, Yakın Doğu Üniversitesi Uluslararası İşletme Bölümü’nden İletişim Fakültesi Halkla İlişkiler ve Tanıtım Bölümü’ne geçiş için başvuruda bulunan Buse Sökmen (20255299) isimli öğrencinin İntibak ve Muafiyet Komisyonu’nun onayladığı şekliyle altı dersten muaf olarak transferine,</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2</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Doğu Akdeniz Üniversitesi İletişim Fakültesi’nden Yakın Doğu Üniversitesi İletişim Fakültesi Yeni Medya ve İletişim Bölümü’ne geçiş için başvuruda bulunan Nazen Yaramaz adlı öğrencinin İntibak ve Muafiyet Komisyonu’nun onayladığı şekliyle altı dersten muaf olarak transferine ve kararın İletişim Fakültesi Yönetim Kurulu’na sunulmasına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w:t>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20.04.2026</w:t>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2026-02</w:t>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ARUKAD Üniversitesi Dijital Oyun Tasarımı Bölümü’nden İletişim Fakültesi Görsel İletişim Tasarımı Bölümü’ne geçiş için başvuruda bulunan Aslıhan Esen isimli öğrencinin Bölüm Başkanlığı’nca uygun görülen on bir dersten muaf olarak transferine ve kararın İletişim Fakültesi Fakülte Kurulu’na bildirilmesine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3</w:t>
            </w:r>
          </w:p>
        </w:tc>
        <w:tc>
          <w:tcPr>
            <w:tcW w:w="1162"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16.10.2026</w:t>
            </w:r>
          </w:p>
        </w:tc>
        <w:tc>
          <w:tcPr>
            <w:tcW w:w="1275" w:type="dxa"/>
            <w:vMerge w:val="restart"/>
            <w:shd w:val="clear" w:color="auto" w:fill="E6E6E6"/>
            <w:tcMar>
              <w:top w:w="35" w:type="dxa"/>
              <w:left w:w="55" w:type="dxa"/>
              <w:bottom w:w="35" w:type="dxa"/>
              <w:right w:w="55" w:type="dxa"/>
            </w:tcMar>
            <w:vAlign w:val="center"/>
          </w:tcPr>
          <w:p>
            <w:pPr>
              <w:spacing w:before="0" w:after="0"/>
            </w:pPr>
            <w:r>
              <w:rPr>
                <w:rFonts w:ascii="Times New Roman" w:hAnsi="Times New Roman"/>
                <w:sz w:val="18"/>
              </w:rPr>
              <w:t>2026-03</w:t>
            </w:r>
          </w:p>
        </w:tc>
        <w:tc>
          <w:tcPr>
            <w:tcW w:w="595" w:type="dxa"/>
            <w:shd w:val="clear" w:color="auto" w:fill="E6E6E6"/>
            <w:tcMar>
              <w:top w:w="35" w:type="dxa"/>
              <w:left w:w="55" w:type="dxa"/>
              <w:bottom w:w="35" w:type="dxa"/>
              <w:right w:w="55" w:type="dxa"/>
            </w:tcMar>
            <w:vAlign w:val="center"/>
          </w:tcPr>
          <w:p>
            <w:pPr>
              <w:spacing w:before="0" w:after="0"/>
            </w:pPr>
            <w:r>
              <w:rPr>
                <w:rFonts w:ascii="Times New Roman" w:hAnsi="Times New Roman"/>
                <w:sz w:val="18"/>
              </w:rPr>
              <w:t>1</w:t>
            </w:r>
          </w:p>
        </w:tc>
        <w:tc>
          <w:tcPr>
            <w:tcW w:w="3458" w:type="dxa"/>
            <w:shd w:val="clear" w:color="auto" w:fill="E6E6E6"/>
            <w:tcMar>
              <w:top w:w="35" w:type="dxa"/>
              <w:left w:w="55" w:type="dxa"/>
              <w:bottom w:w="35" w:type="dxa"/>
              <w:right w:w="55" w:type="dxa"/>
            </w:tcMar>
          </w:tcPr>
          <w:p>
            <w:pPr>
              <w:spacing w:before="0" w:after="0"/>
            </w:pPr>
            <w:r>
              <w:rPr>
                <w:rFonts w:ascii="Times New Roman" w:hAnsi="Times New Roman"/>
                <w:sz w:val="18"/>
              </w:rPr>
              <w:t>İletişim Fakültesi Bölüm Başkanlıklarından gelen transfer ve muafiyet taleplerinin görüşülmesi.</w:t>
            </w:r>
          </w:p>
        </w:tc>
        <w:tc>
          <w:tcPr>
            <w:tcW w:w="8985" w:type="dxa"/>
            <w:shd w:val="clear" w:color="auto" w:fill="E6E6E6"/>
            <w:tcMar>
              <w:top w:w="35" w:type="dxa"/>
              <w:left w:w="55" w:type="dxa"/>
              <w:bottom w:w="35" w:type="dxa"/>
              <w:right w:w="55" w:type="dxa"/>
            </w:tcMar>
          </w:tcPr>
          <w:p>
            <w:pPr>
              <w:spacing w:before="0" w:after="0"/>
            </w:pPr>
            <w:r>
              <w:rPr>
                <w:rFonts w:ascii="Times New Roman" w:hAnsi="Times New Roman"/>
                <w:sz w:val="18"/>
              </w:rPr>
              <w:t>Fakültenin çeşitli bölümlerine transfer ve muafiyet başvurusunda bulunan ve bölüm başkanlarınca incelenerek muaf dersleri komisyonumuza iletilen öğrencilerin aşağıdaki şekliyle fakültemize transferine ve kararın İletişim Fakültesi Fakülte Kurulu’na iletilmesine oy birliğiyle karar verilmiştir.</w:t>
              <w:br/>
              <w:t>Cihad Şahin (20261774) – Radyo Televizyon ve Sinema – 5 ders</w:t>
              <w:br/>
              <w:t>Sude Gündoğ (20263122) – Halkla İlişkiler ve Tanıtım – 3 ders</w:t>
              <w:br/>
              <w:t>Yasemin Berru Taşkın (20261365) – Görsel İletişim Tasarımı – 3 ders</w:t>
              <w:br/>
              <w:t>Kerem Berk Topçu (202261363) – Görsel İletişim Tasarımı – 1 ders</w:t>
              <w:br/>
              <w:t>Fatma Uzmaner (20260642) – Görsel İletişim Tasarımı – 3 ders</w:t>
              <w:br/>
              <w:t>Zeynep Ceylan Ünver (2026299) – Yeni Medya ve İletişim – 9 ders</w:t>
            </w:r>
          </w:p>
        </w:tc>
      </w:tr>
    </w:tbl>
    <w:p w14:paraId="43C9E565" w14:textId="77777777" w:rsidR="003D723A" w:rsidRDefault="003D723A"/>
    <w:sectPr w:rsidR="003D723A" w:rsidSect="00034616">
      <w:footerReference w:type="default" r:id="rId8"/>
      <w:pgSz w:w="16838" w:h="11906" w:orient="landscape"/>
      <w:pgMar w:top="340" w:right="397" w:bottom="340" w:left="397"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DAC8" w14:textId="77777777" w:rsidR="003D723A" w:rsidRDefault="003D723A">
      <w:pPr>
        <w:spacing w:after="0" w:line="240" w:lineRule="auto"/>
      </w:pPr>
      <w:r>
        <w:separator/>
      </w:r>
    </w:p>
  </w:endnote>
  <w:endnote w:type="continuationSeparator" w:id="0">
    <w:p w14:paraId="7A0CDEEF" w14:textId="77777777" w:rsidR="003D723A" w:rsidRDefault="003D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17D5D" w14:textId="77777777" w:rsidR="005C3C37" w:rsidRDefault="00000000">
    <w:pPr>
      <w:pStyle w:val="AltBilgi"/>
      <w:jc w:val="right"/>
    </w:pPr>
    <w:proofErr w:type="spellStart"/>
    <w:r>
      <w:t>Sayfa</w:t>
    </w:r>
    <w:proofErr w:type="spellEnd"/>
    <w:r>
      <w:t xml:space="preserve"> </w:t>
    </w:r>
    <w:r>
      <w:fldChar w:fldCharType="begin"/>
    </w:r>
    <w:r>
      <w:instrText xml:space="preserve"> PAGE </w:instrText>
    </w:r>
    <w:r w:rsidR="00AC61FE">
      <w:fldChar w:fldCharType="separate"/>
    </w:r>
    <w:r w:rsidR="00AC61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5A8" w14:textId="77777777" w:rsidR="003D723A" w:rsidRDefault="003D723A">
      <w:pPr>
        <w:spacing w:after="0" w:line="240" w:lineRule="auto"/>
      </w:pPr>
      <w:r>
        <w:separator/>
      </w:r>
    </w:p>
  </w:footnote>
  <w:footnote w:type="continuationSeparator" w:id="0">
    <w:p w14:paraId="26ACE55C" w14:textId="77777777" w:rsidR="003D723A" w:rsidRDefault="003D7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64165568">
    <w:abstractNumId w:val="8"/>
  </w:num>
  <w:num w:numId="2" w16cid:durableId="1284263890">
    <w:abstractNumId w:val="6"/>
  </w:num>
  <w:num w:numId="3" w16cid:durableId="1258444459">
    <w:abstractNumId w:val="5"/>
  </w:num>
  <w:num w:numId="4" w16cid:durableId="81419948">
    <w:abstractNumId w:val="4"/>
  </w:num>
  <w:num w:numId="5" w16cid:durableId="1900627581">
    <w:abstractNumId w:val="7"/>
  </w:num>
  <w:num w:numId="6" w16cid:durableId="259996522">
    <w:abstractNumId w:val="3"/>
  </w:num>
  <w:num w:numId="7" w16cid:durableId="981036410">
    <w:abstractNumId w:val="2"/>
  </w:num>
  <w:num w:numId="8" w16cid:durableId="1121652802">
    <w:abstractNumId w:val="1"/>
  </w:num>
  <w:num w:numId="9" w16cid:durableId="21496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723A"/>
    <w:rsid w:val="005C3C37"/>
    <w:rsid w:val="00AA1D8D"/>
    <w:rsid w:val="00AC61FE"/>
    <w:rsid w:val="00B47730"/>
    <w:rsid w:val="00CB0664"/>
    <w:rsid w:val="00EB57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CEB584"/>
  <w14:defaultImageDpi w14:val="300"/>
  <w15:docId w15:val="{E11CA540-CD68-4920-83FD-4564351EB1CF}"/>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1573</Words>
  <Characters>11992</Characters>
  <Application>Microsoft Office Word</Application>
  <DocSecurity>0</DocSecurity>
  <Lines>461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İletişim Fakültesi 2025 Fakülte Kurulu Kararları</dc:title>
  <dc:subject>Fakülte Kurulu Kararları</dc:subject>
  <dc:creator>Yakın Doğu Üniversitesi İletişim Fakültesi</dc:creator>
  <cp:keywords/>
  <dc:description>generated by python-docx</dc:description>
  <cp:lastModifiedBy>Can Asman</cp:lastModifiedBy>
  <cp:revision>2</cp:revision>
  <dcterms:created xsi:type="dcterms:W3CDTF">2013-12-23T23:15:00Z</dcterms:created>
  <dcterms:modified xsi:type="dcterms:W3CDTF">2026-07-30T07:46:00Z</dcterms:modified>
  <cp:category/>
</cp:coreProperties>
</file>