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4"/>
        </w:rPr>
        <w:t>ÖĞRENCİ – DEKAN BULUŞMASI</w:t>
        <w:br/>
        <w:t>DÖNEM DEĞERLENDİRME VE GERİ BİLDİRİM ANKETİ</w:t>
        <w:br/>
        <w:t>İYİLEŞTİRME RAPORU</w:t>
      </w:r>
    </w:p>
    <w:p>
      <w:pPr>
        <w:jc w:val="center"/>
      </w:pPr>
      <w:r>
        <w:rPr>
          <w:b/>
          <w:sz w:val="22"/>
        </w:rPr>
        <w:t>2025–2026 Akademik Yılı Bahar Dönemi</w:t>
      </w:r>
    </w:p>
    <w:p>
      <w:pPr>
        <w:jc w:val="center"/>
      </w:pPr>
      <w:r>
        <w:rPr>
          <w:sz w:val="19"/>
        </w:rPr>
        <w:t>Yanıt Sayısı: 55 | Yanıt Tarih Aralığı: 11.06.2026 – 13.06.2026 | Rapor Tarihi: 06.07.2026</w:t>
      </w:r>
    </w:p>
    <w:p/>
    <w:p>
      <w:pPr>
        <w:pStyle w:val="Heading1"/>
      </w:pPr>
      <w:r>
        <w:t>1. Raporun Amacı ve Kapsamı</w:t>
      </w:r>
    </w:p>
    <w:p>
      <w:pPr>
        <w:jc w:val="both"/>
      </w:pPr>
      <w:r>
        <w:t>Bu rapor, Öğrenci–Dekan Buluşması kapsamında toplanan dönem değerlendirme ve geri bildirim anketi sonuçlarının eğitim-öğretim, etkinlik planlaması, akademik gelişim olanakları ve öğrenci deneyimi açısından iyileştirme faaliyetlerine dönüştürülmesi amacıyla hazırlanmıştır. Rapor; öğrenci memnuniyet düzeylerini, açık uçlu önerilerden çıkan temaları ve önümüzdeki dönem için uygulanabilir iyileştirme adımlarını içermektedir.</w:t>
      </w:r>
    </w:p>
    <w:p>
      <w:r>
        <w:rPr>
          <w:b/>
        </w:rPr>
        <w:t xml:space="preserve">Kapsam: </w:t>
      </w:r>
      <w:r>
        <w:t>Anket 55 öğrenci yanıtından oluşmaktadır. Beş kapalı uçlu değerlendirme sorusu ve bir açık uçlu öneri alanı incelenmiştir. Açık uçlu yanıtlar, kişileri hedef göstermeyecek şekilde tematik olarak özetlenmiştir.</w:t>
      </w:r>
    </w:p>
    <w:p>
      <w:pPr>
        <w:pStyle w:val="Heading1"/>
      </w:pPr>
      <w:r>
        <w:t>2. Yönetici Özeti</w:t>
      </w:r>
    </w:p>
    <w:tbl>
      <w:tblPr>
        <w:tblStyle w:val="TableGrid"/>
        <w:tblW w:type="auto" w:w="0"/>
        <w:jc w:val="center"/>
        <w:tblLayout w:type="fixed"/>
        <w:tblLook w:firstColumn="1" w:firstRow="1" w:lastColumn="0" w:lastRow="0" w:noHBand="0" w:noVBand="1" w:val="04A0"/>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Pr>
      <w:tblGrid>
        <w:gridCol w:w="4874"/>
        <w:gridCol w:w="4874"/>
      </w:tblGrid>
      <w:tr>
        <w:tc>
          <w:tcPr>
            <w:tcW w:type="dxa" w:w="2448"/>
            <w:shd w:fill="1F4E79"/>
          </w:tcPr>
          <w:p>
            <w:pPr>
              <w:spacing w:after="0" w:before="0"/>
            </w:pPr>
            <w:r>
              <w:rPr>
                <w:rFonts w:ascii="Arial" w:hAnsi="Arial" w:eastAsia="Arial"/>
                <w:b/>
                <w:color w:val="FFFFFF"/>
                <w:sz w:val="19"/>
              </w:rPr>
              <w:t>Başlık</w:t>
            </w:r>
          </w:p>
        </w:tc>
        <w:tc>
          <w:tcPr>
            <w:tcW w:type="dxa" w:w="8063"/>
            <w:shd w:fill="1F4E79"/>
          </w:tcPr>
          <w:p>
            <w:pPr>
              <w:spacing w:after="0" w:before="0"/>
            </w:pPr>
            <w:r>
              <w:rPr>
                <w:rFonts w:ascii="Arial" w:hAnsi="Arial" w:eastAsia="Arial"/>
                <w:b/>
                <w:color w:val="FFFFFF"/>
                <w:sz w:val="19"/>
              </w:rPr>
              <w:t>Özet Değerlendirme</w:t>
            </w:r>
          </w:p>
        </w:tc>
      </w:tr>
      <w:tr>
        <w:tc>
          <w:tcPr>
            <w:tcW w:type="dxa" w:w="2448"/>
          </w:tcPr>
          <w:p>
            <w:pPr>
              <w:spacing w:after="0" w:before="0"/>
            </w:pPr>
            <w:r>
              <w:rPr>
                <w:rFonts w:ascii="Arial" w:hAnsi="Arial" w:eastAsia="Arial"/>
                <w:sz w:val="19"/>
              </w:rPr>
              <w:t>Genel görünüm</w:t>
            </w:r>
          </w:p>
        </w:tc>
        <w:tc>
          <w:tcPr>
            <w:tcW w:type="dxa" w:w="8063"/>
          </w:tcPr>
          <w:p>
            <w:pPr>
              <w:spacing w:after="0" w:before="0"/>
            </w:pPr>
            <w:r>
              <w:rPr>
                <w:rFonts w:ascii="Arial" w:hAnsi="Arial" w:eastAsia="Arial"/>
                <w:sz w:val="19"/>
              </w:rPr>
              <w:t>Geri bildirimler genel olarak olumlu bir tablo göstermektedir. Beş kapalı uçlu sorunun genel ortalaması 5 üzerinden 3,90’dır.</w:t>
            </w:r>
          </w:p>
        </w:tc>
      </w:tr>
      <w:tr>
        <w:tc>
          <w:tcPr>
            <w:tcW w:type="dxa" w:w="2448"/>
          </w:tcPr>
          <w:p>
            <w:pPr>
              <w:spacing w:after="0" w:before="0"/>
            </w:pPr>
            <w:r>
              <w:rPr>
                <w:rFonts w:ascii="Arial" w:hAnsi="Arial" w:eastAsia="Arial"/>
                <w:sz w:val="19"/>
              </w:rPr>
              <w:t>Güçlü alan</w:t>
            </w:r>
          </w:p>
        </w:tc>
        <w:tc>
          <w:tcPr>
            <w:tcW w:type="dxa" w:w="8063"/>
          </w:tcPr>
          <w:p>
            <w:pPr>
              <w:spacing w:after="0" w:before="0"/>
            </w:pPr>
            <w:r>
              <w:rPr>
                <w:rFonts w:ascii="Arial" w:hAnsi="Arial" w:eastAsia="Arial"/>
                <w:sz w:val="19"/>
              </w:rPr>
              <w:t>Derslerden genel memnuniyet 4,02 ortalama ile en yüksek başlıktır. Öğrencilerin %78,2’si derslerden memnun veya çok memnun olduğunu belirtmiştir.</w:t>
            </w:r>
          </w:p>
        </w:tc>
      </w:tr>
      <w:tr>
        <w:tc>
          <w:tcPr>
            <w:tcW w:type="dxa" w:w="2448"/>
          </w:tcPr>
          <w:p>
            <w:pPr>
              <w:spacing w:after="0" w:before="0"/>
            </w:pPr>
            <w:r>
              <w:rPr>
                <w:rFonts w:ascii="Arial" w:hAnsi="Arial" w:eastAsia="Arial"/>
                <w:sz w:val="19"/>
              </w:rPr>
              <w:t>Geliştirmeye açık alanlar</w:t>
            </w:r>
          </w:p>
        </w:tc>
        <w:tc>
          <w:tcPr>
            <w:tcW w:type="dxa" w:w="8063"/>
          </w:tcPr>
          <w:p>
            <w:pPr>
              <w:spacing w:after="0" w:before="0"/>
            </w:pPr>
            <w:r>
              <w:rPr>
                <w:rFonts w:ascii="Arial" w:hAnsi="Arial" w:eastAsia="Arial"/>
                <w:sz w:val="19"/>
              </w:rPr>
              <w:t>Etkinliklerin değerlendirilmesi 3,80 ortalama ile en düşük başlıktır. Eğitim/akademik imkânlarda asansör ve fiziki erişim konuları öne çıkmıştır.</w:t>
            </w:r>
          </w:p>
        </w:tc>
      </w:tr>
      <w:tr>
        <w:tc>
          <w:tcPr>
            <w:tcW w:type="dxa" w:w="2448"/>
          </w:tcPr>
          <w:p>
            <w:pPr>
              <w:spacing w:after="0" w:before="0"/>
            </w:pPr>
            <w:r>
              <w:rPr>
                <w:rFonts w:ascii="Arial" w:hAnsi="Arial" w:eastAsia="Arial"/>
                <w:sz w:val="19"/>
              </w:rPr>
              <w:t>Öncelikli ihtiyaç</w:t>
            </w:r>
          </w:p>
        </w:tc>
        <w:tc>
          <w:tcPr>
            <w:tcW w:type="dxa" w:w="8063"/>
          </w:tcPr>
          <w:p>
            <w:pPr>
              <w:spacing w:after="0" w:before="0"/>
            </w:pPr>
            <w:r>
              <w:rPr>
                <w:rFonts w:ascii="Arial" w:hAnsi="Arial" w:eastAsia="Arial"/>
                <w:sz w:val="19"/>
              </w:rPr>
              <w:t>Uygulamalı dersler, proje temelli çalışmalar, sınav öncesi pratikler ve öğrencilerin etkinlik organizasyonlarına katılımı artırılmalıdır.</w:t>
            </w:r>
          </w:p>
        </w:tc>
      </w:tr>
      <w:tr>
        <w:tc>
          <w:tcPr>
            <w:tcW w:type="dxa" w:w="2448"/>
          </w:tcPr>
          <w:p>
            <w:pPr>
              <w:spacing w:after="0" w:before="0"/>
            </w:pPr>
            <w:r>
              <w:rPr>
                <w:rFonts w:ascii="Arial" w:hAnsi="Arial" w:eastAsia="Arial"/>
                <w:sz w:val="19"/>
              </w:rPr>
              <w:t>İzleme yaklaşımı</w:t>
            </w:r>
          </w:p>
        </w:tc>
        <w:tc>
          <w:tcPr>
            <w:tcW w:type="dxa" w:w="8063"/>
          </w:tcPr>
          <w:p>
            <w:pPr>
              <w:spacing w:after="0" w:before="0"/>
            </w:pPr>
            <w:r>
              <w:rPr>
                <w:rFonts w:ascii="Arial" w:hAnsi="Arial" w:eastAsia="Arial"/>
                <w:sz w:val="19"/>
              </w:rPr>
              <w:t>İyileştirme adımları dönem başı planlama, dönem içi uygulama ve dönem sonu yeniden ölçüm ile takip edilmelidir.</w:t>
            </w:r>
          </w:p>
        </w:tc>
      </w:tr>
    </w:tbl>
    <w:p>
      <w:r>
        <w:br w:type="page"/>
      </w:r>
    </w:p>
    <w:p>
      <w:pPr>
        <w:pStyle w:val="Heading1"/>
      </w:pPr>
      <w:r>
        <w:t>3. Kapalı Uçlu Yanıtların Nicel Değerlendirmesi</w:t>
      </w:r>
    </w:p>
    <w:p>
      <w:pPr>
        <w:jc w:val="both"/>
      </w:pPr>
      <w:r>
        <w:t>Kapalı uçlu sorular 1–5 puan aralığında değerlendirilmiştir. 4 ve 5 puan aralığı olumlu, 3 puan kararsız/orta, 1 ve 2 puan aralığı olumsuz olarak sınıflandırılmıştır.</w:t>
      </w:r>
    </w:p>
    <w:tbl>
      <w:tblPr>
        <w:tblStyle w:val="TableGrid"/>
        <w:tblW w:type="auto" w:w="0"/>
        <w:jc w:val="center"/>
        <w:tblLayout w:type="fixed"/>
        <w:tblLook w:firstColumn="1" w:firstRow="1" w:lastColumn="0" w:lastRow="0" w:noHBand="0" w:noVBand="1" w:val="04A0"/>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Pr>
      <w:tblGrid>
        <w:gridCol w:w="1625"/>
        <w:gridCol w:w="1625"/>
        <w:gridCol w:w="1625"/>
        <w:gridCol w:w="1625"/>
        <w:gridCol w:w="1625"/>
        <w:gridCol w:w="1625"/>
      </w:tblGrid>
      <w:tr>
        <w:trPr>
          <w:cantSplit/>
        </w:trPr>
        <w:tc>
          <w:tcPr>
            <w:tcW w:type="dxa" w:w="2232"/>
            <w:shd w:fill="1F4E79"/>
          </w:tcPr>
          <w:p>
            <w:pPr>
              <w:spacing w:after="0" w:before="0"/>
            </w:pPr>
            <w:r>
              <w:rPr>
                <w:rFonts w:ascii="Arial" w:hAnsi="Arial" w:eastAsia="Arial"/>
                <w:b/>
                <w:color w:val="FFFFFF"/>
                <w:sz w:val="17"/>
              </w:rPr>
              <w:t>Değerlendirme Alanı</w:t>
            </w:r>
          </w:p>
        </w:tc>
        <w:tc>
          <w:tcPr>
            <w:tcW w:type="dxa" w:w="1224"/>
            <w:shd w:fill="1F4E79"/>
          </w:tcPr>
          <w:p>
            <w:pPr>
              <w:spacing w:after="0" w:before="0"/>
            </w:pPr>
            <w:r>
              <w:rPr>
                <w:rFonts w:ascii="Arial" w:hAnsi="Arial" w:eastAsia="Arial"/>
                <w:b/>
                <w:color w:val="FFFFFF"/>
                <w:sz w:val="17"/>
              </w:rPr>
              <w:t>Ortalama</w:t>
            </w:r>
          </w:p>
        </w:tc>
        <w:tc>
          <w:tcPr>
            <w:tcW w:type="dxa" w:w="1440"/>
            <w:shd w:fill="1F4E79"/>
          </w:tcPr>
          <w:p>
            <w:pPr>
              <w:spacing w:after="0" w:before="0"/>
            </w:pPr>
            <w:r>
              <w:rPr>
                <w:rFonts w:ascii="Arial" w:hAnsi="Arial" w:eastAsia="Arial"/>
                <w:b/>
                <w:color w:val="FFFFFF"/>
                <w:sz w:val="17"/>
              </w:rPr>
              <w:t>Olumlu</w:t>
            </w:r>
          </w:p>
        </w:tc>
        <w:tc>
          <w:tcPr>
            <w:tcW w:type="dxa" w:w="1655"/>
            <w:shd w:fill="1F4E79"/>
          </w:tcPr>
          <w:p>
            <w:pPr>
              <w:spacing w:after="0" w:before="0"/>
            </w:pPr>
            <w:r>
              <w:rPr>
                <w:rFonts w:ascii="Arial" w:hAnsi="Arial" w:eastAsia="Arial"/>
                <w:b/>
                <w:color w:val="FFFFFF"/>
                <w:sz w:val="17"/>
              </w:rPr>
              <w:t>Orta/Kararsız</w:t>
            </w:r>
          </w:p>
        </w:tc>
        <w:tc>
          <w:tcPr>
            <w:tcW w:type="dxa" w:w="1368"/>
            <w:shd w:fill="1F4E79"/>
          </w:tcPr>
          <w:p>
            <w:pPr>
              <w:spacing w:after="0" w:before="0"/>
            </w:pPr>
            <w:r>
              <w:rPr>
                <w:rFonts w:ascii="Arial" w:hAnsi="Arial" w:eastAsia="Arial"/>
                <w:b/>
                <w:color w:val="FFFFFF"/>
                <w:sz w:val="17"/>
              </w:rPr>
              <w:t>Olumsuz</w:t>
            </w:r>
          </w:p>
        </w:tc>
        <w:tc>
          <w:tcPr>
            <w:tcW w:type="dxa" w:w="2664"/>
            <w:shd w:fill="1F4E79"/>
          </w:tcPr>
          <w:p>
            <w:pPr>
              <w:spacing w:after="0" w:before="0"/>
            </w:pPr>
            <w:r>
              <w:rPr>
                <w:rFonts w:ascii="Arial" w:hAnsi="Arial" w:eastAsia="Arial"/>
                <w:b/>
                <w:color w:val="FFFFFF"/>
                <w:sz w:val="17"/>
              </w:rPr>
              <w:t>Yorum</w:t>
            </w:r>
          </w:p>
        </w:tc>
      </w:tr>
      <w:tr>
        <w:trPr>
          <w:cantSplit/>
        </w:trPr>
        <w:tc>
          <w:tcPr>
            <w:tcW w:type="dxa" w:w="2232"/>
          </w:tcPr>
          <w:p>
            <w:pPr>
              <w:spacing w:after="0" w:before="0"/>
            </w:pPr>
            <w:r>
              <w:rPr>
                <w:rFonts w:ascii="Arial" w:hAnsi="Arial" w:eastAsia="Arial"/>
                <w:sz w:val="17"/>
              </w:rPr>
              <w:t>Derslerden genel memnuniyet</w:t>
            </w:r>
          </w:p>
        </w:tc>
        <w:tc>
          <w:tcPr>
            <w:tcW w:type="dxa" w:w="1224"/>
          </w:tcPr>
          <w:p>
            <w:pPr>
              <w:spacing w:after="0" w:before="0"/>
            </w:pPr>
            <w:r>
              <w:rPr>
                <w:rFonts w:ascii="Arial" w:hAnsi="Arial" w:eastAsia="Arial"/>
                <w:sz w:val="17"/>
              </w:rPr>
              <w:t>4.02/5</w:t>
            </w:r>
          </w:p>
        </w:tc>
        <w:tc>
          <w:tcPr>
            <w:tcW w:type="dxa" w:w="1440"/>
          </w:tcPr>
          <w:p>
            <w:pPr>
              <w:spacing w:after="0" w:before="0"/>
            </w:pPr>
            <w:r>
              <w:rPr>
                <w:rFonts w:ascii="Arial" w:hAnsi="Arial" w:eastAsia="Arial"/>
                <w:sz w:val="17"/>
              </w:rPr>
              <w:t>43 (%78.2)</w:t>
            </w:r>
          </w:p>
        </w:tc>
        <w:tc>
          <w:tcPr>
            <w:tcW w:type="dxa" w:w="1655"/>
          </w:tcPr>
          <w:p>
            <w:pPr>
              <w:spacing w:after="0" w:before="0"/>
            </w:pPr>
            <w:r>
              <w:rPr>
                <w:rFonts w:ascii="Arial" w:hAnsi="Arial" w:eastAsia="Arial"/>
                <w:sz w:val="17"/>
              </w:rPr>
              <w:t>8 (%14.5)</w:t>
            </w:r>
          </w:p>
        </w:tc>
        <w:tc>
          <w:tcPr>
            <w:tcW w:type="dxa" w:w="1368"/>
          </w:tcPr>
          <w:p>
            <w:pPr>
              <w:spacing w:after="0" w:before="0"/>
            </w:pPr>
            <w:r>
              <w:rPr>
                <w:rFonts w:ascii="Arial" w:hAnsi="Arial" w:eastAsia="Arial"/>
                <w:sz w:val="17"/>
              </w:rPr>
              <w:t>4 (%7.3)</w:t>
            </w:r>
          </w:p>
        </w:tc>
        <w:tc>
          <w:tcPr>
            <w:tcW w:type="dxa" w:w="2664"/>
          </w:tcPr>
          <w:p>
            <w:pPr>
              <w:spacing w:after="0" w:before="0"/>
            </w:pPr>
            <w:r>
              <w:rPr>
                <w:rFonts w:ascii="Arial" w:hAnsi="Arial" w:eastAsia="Arial"/>
                <w:sz w:val="17"/>
              </w:rPr>
              <w:t>Güçlü alan; uygulama ağırlığı artırılarak korunmalıdır.</w:t>
            </w:r>
          </w:p>
        </w:tc>
      </w:tr>
      <w:tr>
        <w:trPr>
          <w:cantSplit/>
        </w:trPr>
        <w:tc>
          <w:tcPr>
            <w:tcW w:type="dxa" w:w="2232"/>
          </w:tcPr>
          <w:p>
            <w:pPr>
              <w:spacing w:after="0" w:before="0"/>
            </w:pPr>
            <w:r>
              <w:rPr>
                <w:rFonts w:ascii="Arial" w:hAnsi="Arial" w:eastAsia="Arial"/>
                <w:sz w:val="17"/>
              </w:rPr>
              <w:t>Fakülte etkinlikleri</w:t>
            </w:r>
          </w:p>
        </w:tc>
        <w:tc>
          <w:tcPr>
            <w:tcW w:type="dxa" w:w="1224"/>
          </w:tcPr>
          <w:p>
            <w:pPr>
              <w:spacing w:after="0" w:before="0"/>
            </w:pPr>
            <w:r>
              <w:rPr>
                <w:rFonts w:ascii="Arial" w:hAnsi="Arial" w:eastAsia="Arial"/>
                <w:sz w:val="17"/>
              </w:rPr>
              <w:t>3.80/5</w:t>
            </w:r>
          </w:p>
        </w:tc>
        <w:tc>
          <w:tcPr>
            <w:tcW w:type="dxa" w:w="1440"/>
          </w:tcPr>
          <w:p>
            <w:pPr>
              <w:spacing w:after="0" w:before="0"/>
            </w:pPr>
            <w:r>
              <w:rPr>
                <w:rFonts w:ascii="Arial" w:hAnsi="Arial" w:eastAsia="Arial"/>
                <w:sz w:val="17"/>
              </w:rPr>
              <w:t>37 (%67.3)</w:t>
            </w:r>
          </w:p>
        </w:tc>
        <w:tc>
          <w:tcPr>
            <w:tcW w:type="dxa" w:w="1655"/>
          </w:tcPr>
          <w:p>
            <w:pPr>
              <w:spacing w:after="0" w:before="0"/>
            </w:pPr>
            <w:r>
              <w:rPr>
                <w:rFonts w:ascii="Arial" w:hAnsi="Arial" w:eastAsia="Arial"/>
                <w:sz w:val="17"/>
              </w:rPr>
              <w:t>12 (%21.8)</w:t>
            </w:r>
          </w:p>
        </w:tc>
        <w:tc>
          <w:tcPr>
            <w:tcW w:type="dxa" w:w="1368"/>
          </w:tcPr>
          <w:p>
            <w:pPr>
              <w:spacing w:after="0" w:before="0"/>
            </w:pPr>
            <w:r>
              <w:rPr>
                <w:rFonts w:ascii="Arial" w:hAnsi="Arial" w:eastAsia="Arial"/>
                <w:sz w:val="17"/>
              </w:rPr>
              <w:t>6 (%10.9)</w:t>
            </w:r>
          </w:p>
        </w:tc>
        <w:tc>
          <w:tcPr>
            <w:tcW w:type="dxa" w:w="2664"/>
          </w:tcPr>
          <w:p>
            <w:pPr>
              <w:spacing w:after="0" w:before="0"/>
            </w:pPr>
            <w:r>
              <w:rPr>
                <w:rFonts w:ascii="Arial" w:hAnsi="Arial" w:eastAsia="Arial"/>
                <w:sz w:val="17"/>
              </w:rPr>
              <w:t>Takvim, çeşitlilik, öğrenci katılımı ve erişilebilirlik iyileştirilmelidir.</w:t>
            </w:r>
          </w:p>
        </w:tc>
      </w:tr>
      <w:tr>
        <w:trPr>
          <w:cantSplit/>
        </w:trPr>
        <w:tc>
          <w:tcPr>
            <w:tcW w:type="dxa" w:w="2232"/>
          </w:tcPr>
          <w:p>
            <w:pPr>
              <w:spacing w:after="0" w:before="0"/>
            </w:pPr>
            <w:r>
              <w:rPr>
                <w:rFonts w:ascii="Arial" w:hAnsi="Arial" w:eastAsia="Arial"/>
                <w:sz w:val="17"/>
              </w:rPr>
              <w:t>Akademik faaliyetler ve mesleki gelişim olanakları</w:t>
            </w:r>
          </w:p>
        </w:tc>
        <w:tc>
          <w:tcPr>
            <w:tcW w:type="dxa" w:w="1224"/>
          </w:tcPr>
          <w:p>
            <w:pPr>
              <w:spacing w:after="0" w:before="0"/>
            </w:pPr>
            <w:r>
              <w:rPr>
                <w:rFonts w:ascii="Arial" w:hAnsi="Arial" w:eastAsia="Arial"/>
                <w:sz w:val="17"/>
              </w:rPr>
              <w:t>3.93/5</w:t>
            </w:r>
          </w:p>
        </w:tc>
        <w:tc>
          <w:tcPr>
            <w:tcW w:type="dxa" w:w="1440"/>
          </w:tcPr>
          <w:p>
            <w:pPr>
              <w:spacing w:after="0" w:before="0"/>
            </w:pPr>
            <w:r>
              <w:rPr>
                <w:rFonts w:ascii="Arial" w:hAnsi="Arial" w:eastAsia="Arial"/>
                <w:sz w:val="17"/>
              </w:rPr>
              <w:t>39 (%70.9)</w:t>
            </w:r>
          </w:p>
        </w:tc>
        <w:tc>
          <w:tcPr>
            <w:tcW w:type="dxa" w:w="1655"/>
          </w:tcPr>
          <w:p>
            <w:pPr>
              <w:spacing w:after="0" w:before="0"/>
            </w:pPr>
            <w:r>
              <w:rPr>
                <w:rFonts w:ascii="Arial" w:hAnsi="Arial" w:eastAsia="Arial"/>
                <w:sz w:val="17"/>
              </w:rPr>
              <w:t>13 (%23.6)</w:t>
            </w:r>
          </w:p>
        </w:tc>
        <w:tc>
          <w:tcPr>
            <w:tcW w:type="dxa" w:w="1368"/>
          </w:tcPr>
          <w:p>
            <w:pPr>
              <w:spacing w:after="0" w:before="0"/>
            </w:pPr>
            <w:r>
              <w:rPr>
                <w:rFonts w:ascii="Arial" w:hAnsi="Arial" w:eastAsia="Arial"/>
                <w:sz w:val="17"/>
              </w:rPr>
              <w:t>3 (%5.5)</w:t>
            </w:r>
          </w:p>
        </w:tc>
        <w:tc>
          <w:tcPr>
            <w:tcW w:type="dxa" w:w="2664"/>
          </w:tcPr>
          <w:p>
            <w:pPr>
              <w:spacing w:after="0" w:before="0"/>
            </w:pPr>
            <w:r>
              <w:rPr>
                <w:rFonts w:ascii="Arial" w:hAnsi="Arial" w:eastAsia="Arial"/>
                <w:sz w:val="17"/>
              </w:rPr>
              <w:t>Mesleki beceri ve uygulama fırsatları artırılmalıdır.</w:t>
            </w:r>
          </w:p>
        </w:tc>
      </w:tr>
      <w:tr>
        <w:trPr>
          <w:cantSplit/>
        </w:trPr>
        <w:tc>
          <w:tcPr>
            <w:tcW w:type="dxa" w:w="2232"/>
          </w:tcPr>
          <w:p>
            <w:pPr>
              <w:spacing w:after="0" w:before="0"/>
            </w:pPr>
            <w:r>
              <w:rPr>
                <w:rFonts w:ascii="Arial" w:hAnsi="Arial" w:eastAsia="Arial"/>
                <w:sz w:val="17"/>
              </w:rPr>
              <w:t>Eğitim ve akademik imkânlar</w:t>
            </w:r>
          </w:p>
        </w:tc>
        <w:tc>
          <w:tcPr>
            <w:tcW w:type="dxa" w:w="1224"/>
          </w:tcPr>
          <w:p>
            <w:pPr>
              <w:spacing w:after="0" w:before="0"/>
            </w:pPr>
            <w:r>
              <w:rPr>
                <w:rFonts w:ascii="Arial" w:hAnsi="Arial" w:eastAsia="Arial"/>
                <w:sz w:val="17"/>
              </w:rPr>
              <w:t>3.82/5</w:t>
            </w:r>
          </w:p>
        </w:tc>
        <w:tc>
          <w:tcPr>
            <w:tcW w:type="dxa" w:w="1440"/>
          </w:tcPr>
          <w:p>
            <w:pPr>
              <w:spacing w:after="0" w:before="0"/>
            </w:pPr>
            <w:r>
              <w:rPr>
                <w:rFonts w:ascii="Arial" w:hAnsi="Arial" w:eastAsia="Arial"/>
                <w:sz w:val="17"/>
              </w:rPr>
              <w:t>39 (%70.9)</w:t>
            </w:r>
          </w:p>
        </w:tc>
        <w:tc>
          <w:tcPr>
            <w:tcW w:type="dxa" w:w="1655"/>
          </w:tcPr>
          <w:p>
            <w:pPr>
              <w:spacing w:after="0" w:before="0"/>
            </w:pPr>
            <w:r>
              <w:rPr>
                <w:rFonts w:ascii="Arial" w:hAnsi="Arial" w:eastAsia="Arial"/>
                <w:sz w:val="17"/>
              </w:rPr>
              <w:t>10 (%18.2)</w:t>
            </w:r>
          </w:p>
        </w:tc>
        <w:tc>
          <w:tcPr>
            <w:tcW w:type="dxa" w:w="1368"/>
          </w:tcPr>
          <w:p>
            <w:pPr>
              <w:spacing w:after="0" w:before="0"/>
            </w:pPr>
            <w:r>
              <w:rPr>
                <w:rFonts w:ascii="Arial" w:hAnsi="Arial" w:eastAsia="Arial"/>
                <w:sz w:val="17"/>
              </w:rPr>
              <w:t>6 (%10.9)</w:t>
            </w:r>
          </w:p>
        </w:tc>
        <w:tc>
          <w:tcPr>
            <w:tcW w:type="dxa" w:w="2664"/>
          </w:tcPr>
          <w:p>
            <w:pPr>
              <w:spacing w:after="0" w:before="0"/>
            </w:pPr>
            <w:r>
              <w:rPr>
                <w:rFonts w:ascii="Arial" w:hAnsi="Arial" w:eastAsia="Arial"/>
                <w:sz w:val="17"/>
              </w:rPr>
              <w:t>Asansör, teknik/fiziki imkân ve erişim başlıkları takip edilmelidir.</w:t>
            </w:r>
          </w:p>
        </w:tc>
      </w:tr>
      <w:tr>
        <w:trPr>
          <w:cantSplit/>
        </w:trPr>
        <w:tc>
          <w:tcPr>
            <w:tcW w:type="dxa" w:w="2232"/>
          </w:tcPr>
          <w:p>
            <w:pPr>
              <w:spacing w:after="0" w:before="0"/>
            </w:pPr>
            <w:r>
              <w:rPr>
                <w:rFonts w:ascii="Arial" w:hAnsi="Arial" w:eastAsia="Arial"/>
                <w:sz w:val="17"/>
              </w:rPr>
              <w:t>Genel dönem değerlendirmesi</w:t>
            </w:r>
          </w:p>
        </w:tc>
        <w:tc>
          <w:tcPr>
            <w:tcW w:type="dxa" w:w="1224"/>
          </w:tcPr>
          <w:p>
            <w:pPr>
              <w:spacing w:after="0" w:before="0"/>
            </w:pPr>
            <w:r>
              <w:rPr>
                <w:rFonts w:ascii="Arial" w:hAnsi="Arial" w:eastAsia="Arial"/>
                <w:sz w:val="17"/>
              </w:rPr>
              <w:t>3.95/5</w:t>
            </w:r>
          </w:p>
        </w:tc>
        <w:tc>
          <w:tcPr>
            <w:tcW w:type="dxa" w:w="1440"/>
          </w:tcPr>
          <w:p>
            <w:pPr>
              <w:spacing w:after="0" w:before="0"/>
            </w:pPr>
            <w:r>
              <w:rPr>
                <w:rFonts w:ascii="Arial" w:hAnsi="Arial" w:eastAsia="Arial"/>
                <w:sz w:val="17"/>
              </w:rPr>
              <w:t>40 (%72.7)</w:t>
            </w:r>
          </w:p>
        </w:tc>
        <w:tc>
          <w:tcPr>
            <w:tcW w:type="dxa" w:w="1655"/>
          </w:tcPr>
          <w:p>
            <w:pPr>
              <w:spacing w:after="0" w:before="0"/>
            </w:pPr>
            <w:r>
              <w:rPr>
                <w:rFonts w:ascii="Arial" w:hAnsi="Arial" w:eastAsia="Arial"/>
                <w:sz w:val="17"/>
              </w:rPr>
              <w:t>11 (%20.0)</w:t>
            </w:r>
          </w:p>
        </w:tc>
        <w:tc>
          <w:tcPr>
            <w:tcW w:type="dxa" w:w="1368"/>
          </w:tcPr>
          <w:p>
            <w:pPr>
              <w:spacing w:after="0" w:before="0"/>
            </w:pPr>
            <w:r>
              <w:rPr>
                <w:rFonts w:ascii="Arial" w:hAnsi="Arial" w:eastAsia="Arial"/>
                <w:sz w:val="17"/>
              </w:rPr>
              <w:t>4 (%7.3)</w:t>
            </w:r>
          </w:p>
        </w:tc>
        <w:tc>
          <w:tcPr>
            <w:tcW w:type="dxa" w:w="2664"/>
          </w:tcPr>
          <w:p>
            <w:pPr>
              <w:spacing w:after="0" w:before="0"/>
            </w:pPr>
            <w:r>
              <w:rPr>
                <w:rFonts w:ascii="Arial" w:hAnsi="Arial" w:eastAsia="Arial"/>
                <w:sz w:val="17"/>
              </w:rPr>
              <w:t>Dönem başarılı algılanmıştır; hedefli iyileştirmelerle güçlendirilebilir.</w:t>
            </w:r>
          </w:p>
        </w:tc>
      </w:tr>
    </w:tbl>
    <w:p/>
    <w:p>
      <w:pPr>
        <w:jc w:val="center"/>
      </w:pPr>
      <w:r>
        <w:drawing>
          <wp:inline xmlns:a="http://schemas.openxmlformats.org/drawingml/2006/main" xmlns:pic="http://schemas.openxmlformats.org/drawingml/2006/picture">
            <wp:extent cx="5486400" cy="2767143"/>
            <wp:docPr id="1" name="Picture 1"/>
            <wp:cNvGraphicFramePr>
              <a:graphicFrameLocks noChangeAspect="1"/>
            </wp:cNvGraphicFramePr>
            <a:graphic>
              <a:graphicData uri="http://schemas.openxmlformats.org/drawingml/2006/picture">
                <pic:pic>
                  <pic:nvPicPr>
                    <pic:cNvPr id="0" name="memnuniyet_ortalama_grafik.png"/>
                    <pic:cNvPicPr/>
                  </pic:nvPicPr>
                  <pic:blipFill>
                    <a:blip r:embed="rId10"/>
                    <a:stretch>
                      <a:fillRect/>
                    </a:stretch>
                  </pic:blipFill>
                  <pic:spPr>
                    <a:xfrm>
                      <a:off x="0" y="0"/>
                      <a:ext cx="5486400" cy="2767143"/>
                    </a:xfrm>
                    <a:prstGeom prst="rect"/>
                  </pic:spPr>
                </pic:pic>
              </a:graphicData>
            </a:graphic>
          </wp:inline>
        </w:drawing>
      </w:r>
    </w:p>
    <w:p>
      <w:r>
        <w:br w:type="page"/>
      </w:r>
    </w:p>
    <w:p>
      <w:pPr>
        <w:pStyle w:val="Heading1"/>
      </w:pPr>
      <w:r>
        <w:t>4. Açık Uçlu Geri Bildirimlerden Elde Edilen İyileştirme Temaları</w:t>
      </w:r>
    </w:p>
    <w:p>
      <w:pPr>
        <w:jc w:val="both"/>
      </w:pPr>
      <w:r>
        <w:t>Açık uçlu yanıtlar, öğrenci deneyimini geliştirmeye yönelik tekrar eden ihtiyaçlar açısından kodlanmıştır. Bir yanıt birden fazla temaya dahil edilebildiği için tema frekansları toplam yanıt sayısını aşabilir.</w:t>
      </w:r>
    </w:p>
    <w:tbl>
      <w:tblPr>
        <w:tblStyle w:val="TableGrid"/>
        <w:tblW w:type="auto" w:w="0"/>
        <w:jc w:val="center"/>
        <w:tblLayout w:type="fixed"/>
        <w:tblLook w:firstColumn="1" w:firstRow="1" w:lastColumn="0" w:lastRow="0" w:noHBand="0" w:noVBand="1" w:val="04A0"/>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Pr>
      <w:tblGrid>
        <w:gridCol w:w="2437"/>
        <w:gridCol w:w="2437"/>
        <w:gridCol w:w="2437"/>
        <w:gridCol w:w="2437"/>
      </w:tblGrid>
      <w:tr>
        <w:trPr>
          <w:cantSplit/>
        </w:trPr>
        <w:tc>
          <w:tcPr>
            <w:tcW w:type="dxa" w:w="2951"/>
            <w:shd w:fill="1F4E79"/>
          </w:tcPr>
          <w:p>
            <w:pPr>
              <w:spacing w:after="0" w:before="0"/>
            </w:pPr>
            <w:r>
              <w:rPr>
                <w:rFonts w:ascii="Arial" w:hAnsi="Arial" w:eastAsia="Arial"/>
                <w:b/>
                <w:color w:val="FFFFFF"/>
                <w:sz w:val="17"/>
              </w:rPr>
              <w:t>Tema</w:t>
            </w:r>
          </w:p>
        </w:tc>
        <w:tc>
          <w:tcPr>
            <w:tcW w:type="dxa" w:w="936"/>
            <w:shd w:fill="1F4E79"/>
          </w:tcPr>
          <w:p>
            <w:pPr>
              <w:spacing w:after="0" w:before="0"/>
            </w:pPr>
            <w:r>
              <w:rPr>
                <w:rFonts w:ascii="Arial" w:hAnsi="Arial" w:eastAsia="Arial"/>
                <w:b/>
                <w:color w:val="FFFFFF"/>
                <w:sz w:val="17"/>
              </w:rPr>
              <w:t>Frekans</w:t>
            </w:r>
          </w:p>
        </w:tc>
        <w:tc>
          <w:tcPr>
            <w:tcW w:type="dxa" w:w="3240"/>
            <w:shd w:fill="1F4E79"/>
          </w:tcPr>
          <w:p>
            <w:pPr>
              <w:spacing w:after="0" w:before="0"/>
            </w:pPr>
            <w:r>
              <w:rPr>
                <w:rFonts w:ascii="Arial" w:hAnsi="Arial" w:eastAsia="Arial"/>
                <w:b/>
                <w:color w:val="FFFFFF"/>
                <w:sz w:val="17"/>
              </w:rPr>
              <w:t>Gözlenen İhtiyaç</w:t>
            </w:r>
          </w:p>
        </w:tc>
        <w:tc>
          <w:tcPr>
            <w:tcW w:type="dxa" w:w="3671"/>
            <w:shd w:fill="1F4E79"/>
          </w:tcPr>
          <w:p>
            <w:pPr>
              <w:spacing w:after="0" w:before="0"/>
            </w:pPr>
            <w:r>
              <w:rPr>
                <w:rFonts w:ascii="Arial" w:hAnsi="Arial" w:eastAsia="Arial"/>
                <w:b/>
                <w:color w:val="FFFFFF"/>
                <w:sz w:val="17"/>
              </w:rPr>
              <w:t>İyileştirme Yönü</w:t>
            </w:r>
          </w:p>
        </w:tc>
      </w:tr>
      <w:tr>
        <w:trPr>
          <w:cantSplit/>
        </w:trPr>
        <w:tc>
          <w:tcPr>
            <w:tcW w:type="dxa" w:w="2951"/>
          </w:tcPr>
          <w:p>
            <w:pPr>
              <w:spacing w:after="0" w:before="0"/>
            </w:pPr>
            <w:r>
              <w:rPr>
                <w:rFonts w:ascii="Arial" w:hAnsi="Arial" w:eastAsia="Arial"/>
                <w:sz w:val="17"/>
              </w:rPr>
              <w:t>Uygulamalı eğitim, mesleki beceri ve proje temelli öğrenme</w:t>
            </w:r>
          </w:p>
        </w:tc>
        <w:tc>
          <w:tcPr>
            <w:tcW w:type="dxa" w:w="936"/>
          </w:tcPr>
          <w:p>
            <w:pPr>
              <w:spacing w:after="0" w:before="0"/>
            </w:pPr>
            <w:r>
              <w:rPr>
                <w:rFonts w:ascii="Arial" w:hAnsi="Arial" w:eastAsia="Arial"/>
                <w:sz w:val="17"/>
              </w:rPr>
              <w:t>9</w:t>
            </w:r>
          </w:p>
        </w:tc>
        <w:tc>
          <w:tcPr>
            <w:tcW w:type="dxa" w:w="3240"/>
          </w:tcPr>
          <w:p>
            <w:pPr>
              <w:spacing w:after="0" w:before="0"/>
            </w:pPr>
            <w:r>
              <w:rPr>
                <w:rFonts w:ascii="Arial" w:hAnsi="Arial" w:eastAsia="Arial"/>
                <w:sz w:val="17"/>
              </w:rPr>
              <w:t>Öğrenciler uygulamalı derslerde daha fazla pratik, proje ve sınav öncesi uygulama yapılmasını beklemektedir.</w:t>
            </w:r>
          </w:p>
        </w:tc>
        <w:tc>
          <w:tcPr>
            <w:tcW w:type="dxa" w:w="3671"/>
          </w:tcPr>
          <w:p>
            <w:pPr>
              <w:spacing w:after="0" w:before="0"/>
            </w:pPr>
            <w:r>
              <w:rPr>
                <w:rFonts w:ascii="Arial" w:hAnsi="Arial" w:eastAsia="Arial"/>
                <w:sz w:val="17"/>
              </w:rPr>
              <w:t>Ders planlarında uygulama/proje çıktıları netleştirilmeli; sınav öncesi uygulama oturumları artırılmalıdır.</w:t>
            </w:r>
          </w:p>
        </w:tc>
      </w:tr>
      <w:tr>
        <w:trPr>
          <w:cantSplit/>
        </w:trPr>
        <w:tc>
          <w:tcPr>
            <w:tcW w:type="dxa" w:w="2951"/>
          </w:tcPr>
          <w:p>
            <w:pPr>
              <w:spacing w:after="0" w:before="0"/>
            </w:pPr>
            <w:r>
              <w:rPr>
                <w:rFonts w:ascii="Arial" w:hAnsi="Arial" w:eastAsia="Arial"/>
                <w:sz w:val="17"/>
              </w:rPr>
              <w:t>Etkinlik takvimi, etkinlik çeşitliliği ve öğrenci katılımı</w:t>
            </w:r>
          </w:p>
        </w:tc>
        <w:tc>
          <w:tcPr>
            <w:tcW w:type="dxa" w:w="936"/>
          </w:tcPr>
          <w:p>
            <w:pPr>
              <w:spacing w:after="0" w:before="0"/>
            </w:pPr>
            <w:r>
              <w:rPr>
                <w:rFonts w:ascii="Arial" w:hAnsi="Arial" w:eastAsia="Arial"/>
                <w:sz w:val="17"/>
              </w:rPr>
              <w:t>8</w:t>
            </w:r>
          </w:p>
        </w:tc>
        <w:tc>
          <w:tcPr>
            <w:tcW w:type="dxa" w:w="3240"/>
          </w:tcPr>
          <w:p>
            <w:pPr>
              <w:spacing w:after="0" w:before="0"/>
            </w:pPr>
            <w:r>
              <w:rPr>
                <w:rFonts w:ascii="Arial" w:hAnsi="Arial" w:eastAsia="Arial"/>
                <w:sz w:val="17"/>
              </w:rPr>
              <w:t>Etkinliklerin daha erken duyurulması, dönem içine dengeli yayılması ve öğrencilerin organizasyon süreçlerine dahil edilmesi öne çıkmaktadır.</w:t>
            </w:r>
          </w:p>
        </w:tc>
        <w:tc>
          <w:tcPr>
            <w:tcW w:type="dxa" w:w="3671"/>
          </w:tcPr>
          <w:p>
            <w:pPr>
              <w:spacing w:after="0" w:before="0"/>
            </w:pPr>
            <w:r>
              <w:rPr>
                <w:rFonts w:ascii="Arial" w:hAnsi="Arial" w:eastAsia="Arial"/>
                <w:sz w:val="17"/>
              </w:rPr>
              <w:t>Etkinlik takvimi dönem başında ilan edilmeli; sınav haftalarına yakın yoğunluk azaltılmalı; öğrenci görevleri tanımlanmalıdır.</w:t>
            </w:r>
          </w:p>
        </w:tc>
      </w:tr>
      <w:tr>
        <w:trPr>
          <w:cantSplit/>
        </w:trPr>
        <w:tc>
          <w:tcPr>
            <w:tcW w:type="dxa" w:w="2951"/>
          </w:tcPr>
          <w:p>
            <w:pPr>
              <w:spacing w:after="0" w:before="0"/>
            </w:pPr>
            <w:r>
              <w:rPr>
                <w:rFonts w:ascii="Arial" w:hAnsi="Arial" w:eastAsia="Arial"/>
                <w:sz w:val="17"/>
              </w:rPr>
              <w:t>Etkinlik ücretleri ve erişilebilirlik</w:t>
            </w:r>
          </w:p>
        </w:tc>
        <w:tc>
          <w:tcPr>
            <w:tcW w:type="dxa" w:w="936"/>
          </w:tcPr>
          <w:p>
            <w:pPr>
              <w:spacing w:after="0" w:before="0"/>
            </w:pPr>
            <w:r>
              <w:rPr>
                <w:rFonts w:ascii="Arial" w:hAnsi="Arial" w:eastAsia="Arial"/>
                <w:sz w:val="17"/>
              </w:rPr>
              <w:t>3</w:t>
            </w:r>
          </w:p>
        </w:tc>
        <w:tc>
          <w:tcPr>
            <w:tcW w:type="dxa" w:w="3240"/>
          </w:tcPr>
          <w:p>
            <w:pPr>
              <w:spacing w:after="0" w:before="0"/>
            </w:pPr>
            <w:r>
              <w:rPr>
                <w:rFonts w:ascii="Arial" w:hAnsi="Arial" w:eastAsia="Arial"/>
                <w:sz w:val="17"/>
              </w:rPr>
              <w:t>Bazı öğrenciler konser/drift gibi etkinliklerde ek ücret alınmasını eleştirmiş, öğrenciye ücretsiz veya daha erişilebilir seçenekler sunulmasını istemiştir.</w:t>
            </w:r>
          </w:p>
        </w:tc>
        <w:tc>
          <w:tcPr>
            <w:tcW w:type="dxa" w:w="3671"/>
          </w:tcPr>
          <w:p>
            <w:pPr>
              <w:spacing w:after="0" w:before="0"/>
            </w:pPr>
            <w:r>
              <w:rPr>
                <w:rFonts w:ascii="Arial" w:hAnsi="Arial" w:eastAsia="Arial"/>
                <w:sz w:val="17"/>
              </w:rPr>
              <w:t>Ücretsiz/kontenjanlı etkinlik modeli, indirimli öğrenci kotası ve ücret bilgilendirme süreci oluşturulmalıdır.</w:t>
            </w:r>
          </w:p>
        </w:tc>
      </w:tr>
      <w:tr>
        <w:trPr>
          <w:cantSplit/>
        </w:trPr>
        <w:tc>
          <w:tcPr>
            <w:tcW w:type="dxa" w:w="2951"/>
          </w:tcPr>
          <w:p>
            <w:pPr>
              <w:spacing w:after="0" w:before="0"/>
            </w:pPr>
            <w:r>
              <w:rPr>
                <w:rFonts w:ascii="Arial" w:hAnsi="Arial" w:eastAsia="Arial"/>
                <w:sz w:val="17"/>
              </w:rPr>
              <w:t>Fiziki erişim, asansör ve ulaşım</w:t>
            </w:r>
          </w:p>
        </w:tc>
        <w:tc>
          <w:tcPr>
            <w:tcW w:type="dxa" w:w="936"/>
          </w:tcPr>
          <w:p>
            <w:pPr>
              <w:spacing w:after="0" w:before="0"/>
            </w:pPr>
            <w:r>
              <w:rPr>
                <w:rFonts w:ascii="Arial" w:hAnsi="Arial" w:eastAsia="Arial"/>
                <w:sz w:val="17"/>
              </w:rPr>
              <w:t>3</w:t>
            </w:r>
          </w:p>
        </w:tc>
        <w:tc>
          <w:tcPr>
            <w:tcW w:type="dxa" w:w="3240"/>
          </w:tcPr>
          <w:p>
            <w:pPr>
              <w:spacing w:after="0" w:before="0"/>
            </w:pPr>
            <w:r>
              <w:rPr>
                <w:rFonts w:ascii="Arial" w:hAnsi="Arial" w:eastAsia="Arial"/>
                <w:sz w:val="17"/>
              </w:rPr>
              <w:t>Asansörün çalışır durumda olması ve ulaşım gibi konular öğrenci deneyimini etkileyen başlıklar olarak belirtilmiştir.</w:t>
            </w:r>
          </w:p>
        </w:tc>
        <w:tc>
          <w:tcPr>
            <w:tcW w:type="dxa" w:w="3671"/>
          </w:tcPr>
          <w:p>
            <w:pPr>
              <w:spacing w:after="0" w:before="0"/>
            </w:pPr>
            <w:r>
              <w:rPr>
                <w:rFonts w:ascii="Arial" w:hAnsi="Arial" w:eastAsia="Arial"/>
                <w:sz w:val="17"/>
              </w:rPr>
              <w:t>Asansör bakım takibi, erişilebilirlik kontrol listesi ve ulaşım talepleri için izleme mekanizması oluşturulmalıdır.</w:t>
            </w:r>
          </w:p>
        </w:tc>
      </w:tr>
      <w:tr>
        <w:trPr>
          <w:cantSplit/>
        </w:trPr>
        <w:tc>
          <w:tcPr>
            <w:tcW w:type="dxa" w:w="2951"/>
          </w:tcPr>
          <w:p>
            <w:pPr>
              <w:spacing w:after="0" w:before="0"/>
            </w:pPr>
            <w:r>
              <w:rPr>
                <w:rFonts w:ascii="Arial" w:hAnsi="Arial" w:eastAsia="Arial"/>
                <w:sz w:val="17"/>
              </w:rPr>
              <w:t>Ders programı, online/yüz yüze ders dengesi ve sınav dönemi planlaması</w:t>
            </w:r>
          </w:p>
        </w:tc>
        <w:tc>
          <w:tcPr>
            <w:tcW w:type="dxa" w:w="936"/>
          </w:tcPr>
          <w:p>
            <w:pPr>
              <w:spacing w:after="0" w:before="0"/>
            </w:pPr>
            <w:r>
              <w:rPr>
                <w:rFonts w:ascii="Arial" w:hAnsi="Arial" w:eastAsia="Arial"/>
                <w:sz w:val="17"/>
              </w:rPr>
              <w:t>4</w:t>
            </w:r>
          </w:p>
        </w:tc>
        <w:tc>
          <w:tcPr>
            <w:tcW w:type="dxa" w:w="3240"/>
          </w:tcPr>
          <w:p>
            <w:pPr>
              <w:spacing w:after="0" w:before="0"/>
            </w:pPr>
            <w:r>
              <w:rPr>
                <w:rFonts w:ascii="Arial" w:hAnsi="Arial" w:eastAsia="Arial"/>
                <w:sz w:val="17"/>
              </w:rPr>
              <w:t>Öğleden sonraki derslerin verimi, online derslerin ağırlığı ve sınav dönemine yakın etkinlik yoğunluğu konusunda iyileştirme beklentisi vardır.</w:t>
            </w:r>
          </w:p>
        </w:tc>
        <w:tc>
          <w:tcPr>
            <w:tcW w:type="dxa" w:w="3671"/>
          </w:tcPr>
          <w:p>
            <w:pPr>
              <w:spacing w:after="0" w:before="0"/>
            </w:pPr>
            <w:r>
              <w:rPr>
                <w:rFonts w:ascii="Arial" w:hAnsi="Arial" w:eastAsia="Arial"/>
                <w:sz w:val="17"/>
              </w:rPr>
              <w:t>Online/yüz yüze ders dengesi ve ders saatleri öğrenci verimliliği dikkate alınarak gözden geçirilmelidir.</w:t>
            </w:r>
          </w:p>
        </w:tc>
      </w:tr>
      <w:tr>
        <w:trPr>
          <w:cantSplit/>
        </w:trPr>
        <w:tc>
          <w:tcPr>
            <w:tcW w:type="dxa" w:w="2951"/>
          </w:tcPr>
          <w:p>
            <w:pPr>
              <w:spacing w:after="0" w:before="0"/>
            </w:pPr>
            <w:r>
              <w:rPr>
                <w:rFonts w:ascii="Arial" w:hAnsi="Arial" w:eastAsia="Arial"/>
                <w:sz w:val="17"/>
              </w:rPr>
              <w:t>Öğretim yaklaşımı ve öğrenci merkezli iletişim</w:t>
            </w:r>
          </w:p>
        </w:tc>
        <w:tc>
          <w:tcPr>
            <w:tcW w:type="dxa" w:w="936"/>
          </w:tcPr>
          <w:p>
            <w:pPr>
              <w:spacing w:after="0" w:before="0"/>
            </w:pPr>
            <w:r>
              <w:rPr>
                <w:rFonts w:ascii="Arial" w:hAnsi="Arial" w:eastAsia="Arial"/>
                <w:sz w:val="17"/>
              </w:rPr>
              <w:t>3</w:t>
            </w:r>
          </w:p>
        </w:tc>
        <w:tc>
          <w:tcPr>
            <w:tcW w:type="dxa" w:w="3240"/>
          </w:tcPr>
          <w:p>
            <w:pPr>
              <w:spacing w:after="0" w:before="0"/>
            </w:pPr>
            <w:r>
              <w:rPr>
                <w:rFonts w:ascii="Arial" w:hAnsi="Arial" w:eastAsia="Arial"/>
                <w:sz w:val="17"/>
              </w:rPr>
              <w:t>Derslerin öğrenciye yönelik anlatılması, iletişim dilinin güçlendirilmesi ve içerik kapsamının netleştirilmesi gerekliliği vurgulanmıştır.</w:t>
            </w:r>
          </w:p>
        </w:tc>
        <w:tc>
          <w:tcPr>
            <w:tcW w:type="dxa" w:w="3671"/>
          </w:tcPr>
          <w:p>
            <w:pPr>
              <w:spacing w:after="0" w:before="0"/>
            </w:pPr>
            <w:r>
              <w:rPr>
                <w:rFonts w:ascii="Arial" w:hAnsi="Arial" w:eastAsia="Arial"/>
                <w:sz w:val="17"/>
              </w:rPr>
              <w:t>Ders anlatımında öğrenci merkezli yöntemler ve düzenli geri bildirim mekanizması güçlendirilmelidir.</w:t>
            </w:r>
          </w:p>
        </w:tc>
      </w:tr>
    </w:tbl>
    <w:p>
      <w:pPr>
        <w:sectPr>
          <w:footerReference w:type="default" r:id="rId9"/>
          <w:pgSz w:w="11909" w:h="16834"/>
          <w:pgMar w:top="1008" w:right="1080" w:bottom="936" w:left="1080" w:header="720" w:footer="720" w:gutter="0"/>
          <w:cols w:space="720"/>
          <w:docGrid w:linePitch="360"/>
        </w:sectPr>
      </w:pPr>
    </w:p>
    <w:p>
      <w:pPr>
        <w:pStyle w:val="Heading1"/>
      </w:pPr>
      <w:r>
        <w:t>5. İyileştirme Faaliyet Planı</w:t>
      </w:r>
    </w:p>
    <w:p>
      <w:pPr>
        <w:jc w:val="both"/>
      </w:pPr>
      <w:r>
        <w:t>Aşağıdaki plan, öğrenci geri bildirimlerinden çıkan ihtiyaçların takip edilebilir iyileştirme faaliyetlerine dönüştürülmesi amacıyla hazırlanmıştır. Planın PUKÖ döngüsüne uygun şekilde uygulanması; her faaliyet için kanıt dosyası oluşturulması ve dönem sonunda tekrar ölçüm yapılması önerilir.</w:t>
      </w:r>
    </w:p>
    <w:tbl>
      <w:tblPr>
        <w:tblStyle w:val="TableGrid"/>
        <w:tblW w:type="auto" w:w="0"/>
        <w:jc w:val="center"/>
        <w:tblLayout w:type="fixed"/>
        <w:tblLook w:firstColumn="1" w:firstRow="1" w:lastColumn="0" w:lastRow="0" w:noHBand="0" w:noVBand="1" w:val="04A0"/>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Pr>
      <w:tblGrid>
        <w:gridCol w:w="2220"/>
        <w:gridCol w:w="2220"/>
        <w:gridCol w:w="2220"/>
        <w:gridCol w:w="2220"/>
        <w:gridCol w:w="2220"/>
        <w:gridCol w:w="2220"/>
        <w:gridCol w:w="2220"/>
      </w:tblGrid>
      <w:tr>
        <w:trPr>
          <w:tblHeader w:val="true"/>
          <w:cantSplit/>
        </w:trPr>
        <w:tc>
          <w:tcPr>
            <w:tcW w:type="dxa" w:w="503"/>
            <w:shd w:fill="1F4E79"/>
          </w:tcPr>
          <w:p>
            <w:pPr>
              <w:spacing w:after="0" w:before="0"/>
            </w:pPr>
            <w:r>
              <w:rPr>
                <w:rFonts w:ascii="Arial" w:hAnsi="Arial" w:eastAsia="Arial"/>
                <w:b/>
                <w:color w:val="FFFFFF"/>
                <w:sz w:val="16"/>
              </w:rPr>
              <w:t>No</w:t>
            </w:r>
          </w:p>
        </w:tc>
        <w:tc>
          <w:tcPr>
            <w:tcW w:type="dxa" w:w="1944"/>
            <w:shd w:fill="1F4E79"/>
          </w:tcPr>
          <w:p>
            <w:pPr>
              <w:spacing w:after="0" w:before="0"/>
            </w:pPr>
            <w:r>
              <w:rPr>
                <w:rFonts w:ascii="Arial" w:hAnsi="Arial" w:eastAsia="Arial"/>
                <w:b/>
                <w:color w:val="FFFFFF"/>
                <w:sz w:val="16"/>
              </w:rPr>
              <w:t>İyileştirme Alanı</w:t>
            </w:r>
          </w:p>
        </w:tc>
        <w:tc>
          <w:tcPr>
            <w:tcW w:type="dxa" w:w="3384"/>
            <w:shd w:fill="1F4E79"/>
          </w:tcPr>
          <w:p>
            <w:pPr>
              <w:spacing w:after="0" w:before="0"/>
            </w:pPr>
            <w:r>
              <w:rPr>
                <w:rFonts w:ascii="Arial" w:hAnsi="Arial" w:eastAsia="Arial"/>
                <w:b/>
                <w:color w:val="FFFFFF"/>
                <w:sz w:val="16"/>
              </w:rPr>
              <w:t>Faaliyet</w:t>
            </w:r>
          </w:p>
        </w:tc>
        <w:tc>
          <w:tcPr>
            <w:tcW w:type="dxa" w:w="1944"/>
            <w:shd w:fill="1F4E79"/>
          </w:tcPr>
          <w:p>
            <w:pPr>
              <w:spacing w:after="0" w:before="0"/>
            </w:pPr>
            <w:r>
              <w:rPr>
                <w:rFonts w:ascii="Arial" w:hAnsi="Arial" w:eastAsia="Arial"/>
                <w:b/>
                <w:color w:val="FFFFFF"/>
                <w:sz w:val="16"/>
              </w:rPr>
              <w:t>Sorumlu</w:t>
            </w:r>
          </w:p>
        </w:tc>
        <w:tc>
          <w:tcPr>
            <w:tcW w:type="dxa" w:w="1944"/>
            <w:shd w:fill="1F4E79"/>
          </w:tcPr>
          <w:p>
            <w:pPr>
              <w:spacing w:after="0" w:before="0"/>
            </w:pPr>
            <w:r>
              <w:rPr>
                <w:rFonts w:ascii="Arial" w:hAnsi="Arial" w:eastAsia="Arial"/>
                <w:b/>
                <w:color w:val="FFFFFF"/>
                <w:sz w:val="16"/>
              </w:rPr>
              <w:t>Zamanlama</w:t>
            </w:r>
          </w:p>
        </w:tc>
        <w:tc>
          <w:tcPr>
            <w:tcW w:type="dxa" w:w="2808"/>
            <w:shd w:fill="1F4E79"/>
          </w:tcPr>
          <w:p>
            <w:pPr>
              <w:spacing w:after="0" w:before="0"/>
            </w:pPr>
            <w:r>
              <w:rPr>
                <w:rFonts w:ascii="Arial" w:hAnsi="Arial" w:eastAsia="Arial"/>
                <w:b/>
                <w:color w:val="FFFFFF"/>
                <w:sz w:val="16"/>
              </w:rPr>
              <w:t>İzleme Göstergesi</w:t>
            </w:r>
          </w:p>
        </w:tc>
        <w:tc>
          <w:tcPr>
            <w:tcW w:type="dxa" w:w="2664"/>
            <w:shd w:fill="1F4E79"/>
          </w:tcPr>
          <w:p>
            <w:pPr>
              <w:spacing w:after="0" w:before="0"/>
            </w:pPr>
            <w:r>
              <w:rPr>
                <w:rFonts w:ascii="Arial" w:hAnsi="Arial" w:eastAsia="Arial"/>
                <w:b/>
                <w:color w:val="FFFFFF"/>
                <w:sz w:val="16"/>
              </w:rPr>
              <w:t>Kanıt</w:t>
            </w:r>
          </w:p>
        </w:tc>
      </w:tr>
      <w:tr>
        <w:trPr>
          <w:cantSplit/>
        </w:trPr>
        <w:tc>
          <w:tcPr>
            <w:tcW w:type="dxa" w:w="503"/>
            <w:vAlign w:val="top"/>
          </w:tcPr>
          <w:p>
            <w:pPr>
              <w:spacing w:after="0" w:before="0"/>
            </w:pPr>
            <w:r>
              <w:rPr>
                <w:rFonts w:ascii="Arial" w:hAnsi="Arial" w:eastAsia="Arial"/>
                <w:sz w:val="16"/>
              </w:rPr>
              <w:t>1</w:t>
            </w:r>
          </w:p>
        </w:tc>
        <w:tc>
          <w:tcPr>
            <w:tcW w:type="dxa" w:w="1944"/>
            <w:vAlign w:val="top"/>
          </w:tcPr>
          <w:p>
            <w:pPr>
              <w:spacing w:after="0" w:before="0"/>
            </w:pPr>
            <w:r>
              <w:rPr>
                <w:rFonts w:ascii="Arial" w:hAnsi="Arial" w:eastAsia="Arial"/>
                <w:sz w:val="16"/>
              </w:rPr>
              <w:t>Uygulamalı ders ve mesleki beceri geliştirme</w:t>
            </w:r>
          </w:p>
        </w:tc>
        <w:tc>
          <w:tcPr>
            <w:tcW w:type="dxa" w:w="3384"/>
            <w:vAlign w:val="top"/>
          </w:tcPr>
          <w:p>
            <w:pPr>
              <w:spacing w:after="0" w:before="0"/>
            </w:pPr>
            <w:r>
              <w:rPr>
                <w:rFonts w:ascii="Arial" w:hAnsi="Arial" w:eastAsia="Arial"/>
                <w:sz w:val="16"/>
              </w:rPr>
              <w:t>Uygulamalı derslerde haftalık pratik, proje veya atölye çıktısı tanımlanması; sınav öncesi uygulama/tekrar oturumu yapılması.</w:t>
            </w:r>
          </w:p>
        </w:tc>
        <w:tc>
          <w:tcPr>
            <w:tcW w:type="dxa" w:w="1944"/>
            <w:vAlign w:val="top"/>
          </w:tcPr>
          <w:p>
            <w:pPr>
              <w:spacing w:after="0" w:before="0"/>
            </w:pPr>
            <w:r>
              <w:rPr>
                <w:rFonts w:ascii="Arial" w:hAnsi="Arial" w:eastAsia="Arial"/>
                <w:sz w:val="16"/>
              </w:rPr>
              <w:t>Bölüm Başkanlıkları, Ders Sorumluları</w:t>
            </w:r>
          </w:p>
        </w:tc>
        <w:tc>
          <w:tcPr>
            <w:tcW w:type="dxa" w:w="1944"/>
            <w:vAlign w:val="top"/>
          </w:tcPr>
          <w:p>
            <w:pPr>
              <w:spacing w:after="0" w:before="0"/>
            </w:pPr>
            <w:r>
              <w:rPr>
                <w:rFonts w:ascii="Arial" w:hAnsi="Arial" w:eastAsia="Arial"/>
                <w:sz w:val="16"/>
              </w:rPr>
              <w:t>2026–2027 Güz dönemi ders planları öncesi; dönem içi sürekli</w:t>
            </w:r>
          </w:p>
        </w:tc>
        <w:tc>
          <w:tcPr>
            <w:tcW w:type="dxa" w:w="2808"/>
            <w:vAlign w:val="top"/>
          </w:tcPr>
          <w:p>
            <w:pPr>
              <w:spacing w:after="0" w:before="0"/>
            </w:pPr>
            <w:r>
              <w:rPr>
                <w:rFonts w:ascii="Arial" w:hAnsi="Arial" w:eastAsia="Arial"/>
                <w:sz w:val="16"/>
              </w:rPr>
              <w:t>Uygulamalı derslerin en az %80’inde uygulama/proje çıktısının ders izlencesinde yer alması; dönem sonu öğrenci memnuniyetinde artış</w:t>
            </w:r>
          </w:p>
        </w:tc>
        <w:tc>
          <w:tcPr>
            <w:tcW w:type="dxa" w:w="2664"/>
            <w:vAlign w:val="top"/>
          </w:tcPr>
          <w:p>
            <w:pPr>
              <w:spacing w:after="0" w:before="0"/>
            </w:pPr>
            <w:r>
              <w:rPr>
                <w:rFonts w:ascii="Arial" w:hAnsi="Arial" w:eastAsia="Arial"/>
                <w:sz w:val="16"/>
              </w:rPr>
              <w:t>Güncellenmiş ders izlenceleri, uygulama ödevleri, öğrenci ürünleri, sınav öncesi pratik duyuruları</w:t>
            </w:r>
          </w:p>
        </w:tc>
      </w:tr>
      <w:tr>
        <w:trPr>
          <w:cantSplit/>
        </w:trPr>
        <w:tc>
          <w:tcPr>
            <w:tcW w:type="dxa" w:w="503"/>
            <w:vAlign w:val="top"/>
          </w:tcPr>
          <w:p>
            <w:pPr>
              <w:spacing w:after="0" w:before="0"/>
            </w:pPr>
            <w:r>
              <w:rPr>
                <w:rFonts w:ascii="Arial" w:hAnsi="Arial" w:eastAsia="Arial"/>
                <w:sz w:val="16"/>
              </w:rPr>
              <w:t>2</w:t>
            </w:r>
          </w:p>
        </w:tc>
        <w:tc>
          <w:tcPr>
            <w:tcW w:type="dxa" w:w="1944"/>
            <w:vAlign w:val="top"/>
          </w:tcPr>
          <w:p>
            <w:pPr>
              <w:spacing w:after="0" w:before="0"/>
            </w:pPr>
            <w:r>
              <w:rPr>
                <w:rFonts w:ascii="Arial" w:hAnsi="Arial" w:eastAsia="Arial"/>
                <w:sz w:val="16"/>
              </w:rPr>
              <w:t>Ders içeriklerinin kapsam ve beklenti uyumu</w:t>
            </w:r>
          </w:p>
        </w:tc>
        <w:tc>
          <w:tcPr>
            <w:tcW w:type="dxa" w:w="3384"/>
            <w:vAlign w:val="top"/>
          </w:tcPr>
          <w:p>
            <w:pPr>
              <w:spacing w:after="0" w:before="0"/>
            </w:pPr>
            <w:r>
              <w:rPr>
                <w:rFonts w:ascii="Arial" w:hAnsi="Arial" w:eastAsia="Arial"/>
                <w:sz w:val="16"/>
              </w:rPr>
              <w:t>Marka tasarımı, reklam, medya vb. uygulamalı olabilecek derslerde içerik kapsamının ve öğrenme çıktılarının dönem başında öğrencilere açık biçimde aktarılması.</w:t>
            </w:r>
          </w:p>
        </w:tc>
        <w:tc>
          <w:tcPr>
            <w:tcW w:type="dxa" w:w="1944"/>
            <w:vAlign w:val="top"/>
          </w:tcPr>
          <w:p>
            <w:pPr>
              <w:spacing w:after="0" w:before="0"/>
            </w:pPr>
            <w:r>
              <w:rPr>
                <w:rFonts w:ascii="Arial" w:hAnsi="Arial" w:eastAsia="Arial"/>
                <w:sz w:val="16"/>
              </w:rPr>
              <w:t>Bölüm Başkanlıkları, Program Koordinatörleri</w:t>
            </w:r>
          </w:p>
        </w:tc>
        <w:tc>
          <w:tcPr>
            <w:tcW w:type="dxa" w:w="1944"/>
            <w:vAlign w:val="top"/>
          </w:tcPr>
          <w:p>
            <w:pPr>
              <w:spacing w:after="0" w:before="0"/>
            </w:pPr>
            <w:r>
              <w:rPr>
                <w:rFonts w:ascii="Arial" w:hAnsi="Arial" w:eastAsia="Arial"/>
                <w:sz w:val="16"/>
              </w:rPr>
              <w:t>Dönem başlangıcı ve ara değerlendirme haftası</w:t>
            </w:r>
          </w:p>
        </w:tc>
        <w:tc>
          <w:tcPr>
            <w:tcW w:type="dxa" w:w="2808"/>
            <w:vAlign w:val="top"/>
          </w:tcPr>
          <w:p>
            <w:pPr>
              <w:spacing w:after="0" w:before="0"/>
            </w:pPr>
            <w:r>
              <w:rPr>
                <w:rFonts w:ascii="Arial" w:hAnsi="Arial" w:eastAsia="Arial"/>
                <w:sz w:val="16"/>
              </w:rPr>
              <w:t>Her bölümde en az bir ara dönem öğrenci geri bildirim toplantısı yapılması; içerik eksikliği şikâyetlerinin azalması</w:t>
            </w:r>
          </w:p>
        </w:tc>
        <w:tc>
          <w:tcPr>
            <w:tcW w:type="dxa" w:w="2664"/>
            <w:vAlign w:val="top"/>
          </w:tcPr>
          <w:p>
            <w:pPr>
              <w:spacing w:after="0" w:before="0"/>
            </w:pPr>
            <w:r>
              <w:rPr>
                <w:rFonts w:ascii="Arial" w:hAnsi="Arial" w:eastAsia="Arial"/>
                <w:sz w:val="16"/>
              </w:rPr>
              <w:t>Toplantı tutanakları, ders içeriği revizyon kayıtları, öğrenci geri bildirim formları</w:t>
            </w:r>
          </w:p>
        </w:tc>
      </w:tr>
      <w:tr>
        <w:trPr>
          <w:cantSplit/>
        </w:trPr>
        <w:tc>
          <w:tcPr>
            <w:tcW w:type="dxa" w:w="503"/>
            <w:vAlign w:val="top"/>
          </w:tcPr>
          <w:p>
            <w:pPr>
              <w:spacing w:after="0" w:before="0"/>
            </w:pPr>
            <w:r>
              <w:rPr>
                <w:rFonts w:ascii="Arial" w:hAnsi="Arial" w:eastAsia="Arial"/>
                <w:sz w:val="16"/>
              </w:rPr>
              <w:t>3</w:t>
            </w:r>
          </w:p>
        </w:tc>
        <w:tc>
          <w:tcPr>
            <w:tcW w:type="dxa" w:w="1944"/>
            <w:vAlign w:val="top"/>
          </w:tcPr>
          <w:p>
            <w:pPr>
              <w:spacing w:after="0" w:before="0"/>
            </w:pPr>
            <w:r>
              <w:rPr>
                <w:rFonts w:ascii="Arial" w:hAnsi="Arial" w:eastAsia="Arial"/>
                <w:sz w:val="16"/>
              </w:rPr>
              <w:t>Etkinlik takviminin planlı ve dengeli yürütülmesi</w:t>
            </w:r>
          </w:p>
        </w:tc>
        <w:tc>
          <w:tcPr>
            <w:tcW w:type="dxa" w:w="3384"/>
            <w:vAlign w:val="top"/>
          </w:tcPr>
          <w:p>
            <w:pPr>
              <w:spacing w:after="0" w:before="0"/>
            </w:pPr>
            <w:r>
              <w:rPr>
                <w:rFonts w:ascii="Arial" w:hAnsi="Arial" w:eastAsia="Arial"/>
                <w:sz w:val="16"/>
              </w:rPr>
              <w:t>Konferans, seminer, atölye ve sosyal etkinliklerin dönem başında taslak takvimle duyurulması; sınav haftaları ve ders yoğunluğu dikkate alınarak planlanması.</w:t>
            </w:r>
          </w:p>
        </w:tc>
        <w:tc>
          <w:tcPr>
            <w:tcW w:type="dxa" w:w="1944"/>
            <w:vAlign w:val="top"/>
          </w:tcPr>
          <w:p>
            <w:pPr>
              <w:spacing w:after="0" w:before="0"/>
            </w:pPr>
            <w:r>
              <w:rPr>
                <w:rFonts w:ascii="Arial" w:hAnsi="Arial" w:eastAsia="Arial"/>
                <w:sz w:val="16"/>
              </w:rPr>
              <w:t>Dekanlık, Etkinlik Komisyonu, Bölüm Başkanlıkları</w:t>
            </w:r>
          </w:p>
        </w:tc>
        <w:tc>
          <w:tcPr>
            <w:tcW w:type="dxa" w:w="1944"/>
            <w:vAlign w:val="top"/>
          </w:tcPr>
          <w:p>
            <w:pPr>
              <w:spacing w:after="0" w:before="0"/>
            </w:pPr>
            <w:r>
              <w:rPr>
                <w:rFonts w:ascii="Arial" w:hAnsi="Arial" w:eastAsia="Arial"/>
                <w:sz w:val="16"/>
              </w:rPr>
              <w:t>Dönem başlangıcından önce; aylık güncelleme</w:t>
            </w:r>
          </w:p>
        </w:tc>
        <w:tc>
          <w:tcPr>
            <w:tcW w:type="dxa" w:w="2808"/>
            <w:vAlign w:val="top"/>
          </w:tcPr>
          <w:p>
            <w:pPr>
              <w:spacing w:after="0" w:before="0"/>
            </w:pPr>
            <w:r>
              <w:rPr>
                <w:rFonts w:ascii="Arial" w:hAnsi="Arial" w:eastAsia="Arial"/>
                <w:sz w:val="16"/>
              </w:rPr>
              <w:t>Etkinliklerin en az iki hafta önceden duyurulması; sınav dönemine denk gelen etkinlik sayısının azaltılması</w:t>
            </w:r>
          </w:p>
        </w:tc>
        <w:tc>
          <w:tcPr>
            <w:tcW w:type="dxa" w:w="2664"/>
            <w:vAlign w:val="top"/>
          </w:tcPr>
          <w:p>
            <w:pPr>
              <w:spacing w:after="0" w:before="0"/>
            </w:pPr>
            <w:r>
              <w:rPr>
                <w:rFonts w:ascii="Arial" w:hAnsi="Arial" w:eastAsia="Arial"/>
                <w:sz w:val="16"/>
              </w:rPr>
              <w:t>Etkinlik takvimi, web/duyuru ekran görüntüleri, etkinlik planlama çizelgeleri</w:t>
            </w:r>
          </w:p>
        </w:tc>
      </w:tr>
      <w:tr>
        <w:trPr>
          <w:cantSplit/>
        </w:trPr>
        <w:tc>
          <w:tcPr>
            <w:tcW w:type="dxa" w:w="503"/>
            <w:vAlign w:val="top"/>
          </w:tcPr>
          <w:p>
            <w:pPr>
              <w:spacing w:after="0" w:before="0"/>
            </w:pPr>
            <w:r>
              <w:rPr>
                <w:rFonts w:ascii="Arial" w:hAnsi="Arial" w:eastAsia="Arial"/>
                <w:sz w:val="16"/>
              </w:rPr>
              <w:t>4</w:t>
            </w:r>
          </w:p>
        </w:tc>
        <w:tc>
          <w:tcPr>
            <w:tcW w:type="dxa" w:w="1944"/>
            <w:vAlign w:val="top"/>
          </w:tcPr>
          <w:p>
            <w:pPr>
              <w:spacing w:after="0" w:before="0"/>
            </w:pPr>
            <w:r>
              <w:rPr>
                <w:rFonts w:ascii="Arial" w:hAnsi="Arial" w:eastAsia="Arial"/>
                <w:sz w:val="16"/>
              </w:rPr>
              <w:t>Öğrenci katılımının artırılması</w:t>
            </w:r>
          </w:p>
        </w:tc>
        <w:tc>
          <w:tcPr>
            <w:tcW w:type="dxa" w:w="3384"/>
            <w:vAlign w:val="top"/>
          </w:tcPr>
          <w:p>
            <w:pPr>
              <w:spacing w:after="0" w:before="0"/>
            </w:pPr>
            <w:r>
              <w:rPr>
                <w:rFonts w:ascii="Arial" w:hAnsi="Arial" w:eastAsia="Arial"/>
                <w:sz w:val="16"/>
              </w:rPr>
              <w:t>Etkinlik organizasyonlarında öğrenci görev ekipleri oluşturulması; görev alan öğrenciler için katılım belgesi, portfolyo katkısı veya uygun görülen puanlama/teşvik mekanizması geliştirilmesi.</w:t>
            </w:r>
          </w:p>
        </w:tc>
        <w:tc>
          <w:tcPr>
            <w:tcW w:type="dxa" w:w="1944"/>
            <w:vAlign w:val="top"/>
          </w:tcPr>
          <w:p>
            <w:pPr>
              <w:spacing w:after="0" w:before="0"/>
            </w:pPr>
            <w:r>
              <w:rPr>
                <w:rFonts w:ascii="Arial" w:hAnsi="Arial" w:eastAsia="Arial"/>
                <w:sz w:val="16"/>
              </w:rPr>
              <w:t>Dekanlık, Etkinlik Komisyonu, Öğrenci Temsilcileri</w:t>
            </w:r>
          </w:p>
        </w:tc>
        <w:tc>
          <w:tcPr>
            <w:tcW w:type="dxa" w:w="1944"/>
            <w:vAlign w:val="top"/>
          </w:tcPr>
          <w:p>
            <w:pPr>
              <w:spacing w:after="0" w:before="0"/>
            </w:pPr>
            <w:r>
              <w:rPr>
                <w:rFonts w:ascii="Arial" w:hAnsi="Arial" w:eastAsia="Arial"/>
                <w:sz w:val="16"/>
              </w:rPr>
              <w:t>Her etkinlik öncesi</w:t>
            </w:r>
          </w:p>
        </w:tc>
        <w:tc>
          <w:tcPr>
            <w:tcW w:type="dxa" w:w="2808"/>
            <w:vAlign w:val="top"/>
          </w:tcPr>
          <w:p>
            <w:pPr>
              <w:spacing w:after="0" w:before="0"/>
            </w:pPr>
            <w:r>
              <w:rPr>
                <w:rFonts w:ascii="Arial" w:hAnsi="Arial" w:eastAsia="Arial"/>
                <w:sz w:val="16"/>
              </w:rPr>
              <w:t>Her büyük etkinlikte öğrenci görev ekibi oluşturulması; öğrenci katılım sayısının izlenmesi</w:t>
            </w:r>
          </w:p>
        </w:tc>
        <w:tc>
          <w:tcPr>
            <w:tcW w:type="dxa" w:w="2664"/>
            <w:vAlign w:val="top"/>
          </w:tcPr>
          <w:p>
            <w:pPr>
              <w:spacing w:after="0" w:before="0"/>
            </w:pPr>
            <w:r>
              <w:rPr>
                <w:rFonts w:ascii="Arial" w:hAnsi="Arial" w:eastAsia="Arial"/>
                <w:sz w:val="16"/>
              </w:rPr>
              <w:t>Görev listeleri, katılım belgeleri, etkinlik değerlendirme formları</w:t>
            </w:r>
          </w:p>
        </w:tc>
      </w:tr>
    </w:tbl>
    <w:p>
      <w:r>
        <w:br w:type="page"/>
      </w:r>
    </w:p>
    <w:p>
      <w:pPr>
        <w:pStyle w:val="Heading1"/>
      </w:pPr>
      <w:r>
        <w:t>5. İyileştirme Faaliyet Planı (Devam)</w:t>
      </w:r>
    </w:p>
    <w:tbl>
      <w:tblPr>
        <w:tblStyle w:val="TableGrid"/>
        <w:tblW w:type="auto" w:w="0"/>
        <w:jc w:val="center"/>
        <w:tblLayout w:type="fixed"/>
        <w:tblLook w:firstColumn="1" w:firstRow="1" w:lastColumn="0" w:lastRow="0" w:noHBand="0" w:noVBand="1" w:val="04A0"/>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Pr>
      <w:tblGrid>
        <w:gridCol w:w="2220"/>
        <w:gridCol w:w="2220"/>
        <w:gridCol w:w="2220"/>
        <w:gridCol w:w="2220"/>
        <w:gridCol w:w="2220"/>
        <w:gridCol w:w="2220"/>
        <w:gridCol w:w="2220"/>
      </w:tblGrid>
      <w:tr>
        <w:trPr>
          <w:tblHeader w:val="true"/>
          <w:cantSplit/>
        </w:trPr>
        <w:tc>
          <w:tcPr>
            <w:tcW w:type="dxa" w:w="503"/>
            <w:shd w:fill="1F4E79"/>
          </w:tcPr>
          <w:p>
            <w:pPr>
              <w:spacing w:after="0" w:before="0"/>
            </w:pPr>
            <w:r>
              <w:rPr>
                <w:rFonts w:ascii="Arial" w:hAnsi="Arial" w:eastAsia="Arial"/>
                <w:b/>
                <w:color w:val="FFFFFF"/>
                <w:sz w:val="16"/>
              </w:rPr>
              <w:t>No</w:t>
            </w:r>
          </w:p>
        </w:tc>
        <w:tc>
          <w:tcPr>
            <w:tcW w:type="dxa" w:w="1944"/>
            <w:shd w:fill="1F4E79"/>
          </w:tcPr>
          <w:p>
            <w:pPr>
              <w:spacing w:after="0" w:before="0"/>
            </w:pPr>
            <w:r>
              <w:rPr>
                <w:rFonts w:ascii="Arial" w:hAnsi="Arial" w:eastAsia="Arial"/>
                <w:b/>
                <w:color w:val="FFFFFF"/>
                <w:sz w:val="16"/>
              </w:rPr>
              <w:t>İyileştirme Alanı</w:t>
            </w:r>
          </w:p>
        </w:tc>
        <w:tc>
          <w:tcPr>
            <w:tcW w:type="dxa" w:w="3384"/>
            <w:shd w:fill="1F4E79"/>
          </w:tcPr>
          <w:p>
            <w:pPr>
              <w:spacing w:after="0" w:before="0"/>
            </w:pPr>
            <w:r>
              <w:rPr>
                <w:rFonts w:ascii="Arial" w:hAnsi="Arial" w:eastAsia="Arial"/>
                <w:b/>
                <w:color w:val="FFFFFF"/>
                <w:sz w:val="16"/>
              </w:rPr>
              <w:t>Faaliyet</w:t>
            </w:r>
          </w:p>
        </w:tc>
        <w:tc>
          <w:tcPr>
            <w:tcW w:type="dxa" w:w="1944"/>
            <w:shd w:fill="1F4E79"/>
          </w:tcPr>
          <w:p>
            <w:pPr>
              <w:spacing w:after="0" w:before="0"/>
            </w:pPr>
            <w:r>
              <w:rPr>
                <w:rFonts w:ascii="Arial" w:hAnsi="Arial" w:eastAsia="Arial"/>
                <w:b/>
                <w:color w:val="FFFFFF"/>
                <w:sz w:val="16"/>
              </w:rPr>
              <w:t>Sorumlu</w:t>
            </w:r>
          </w:p>
        </w:tc>
        <w:tc>
          <w:tcPr>
            <w:tcW w:type="dxa" w:w="1944"/>
            <w:shd w:fill="1F4E79"/>
          </w:tcPr>
          <w:p>
            <w:pPr>
              <w:spacing w:after="0" w:before="0"/>
            </w:pPr>
            <w:r>
              <w:rPr>
                <w:rFonts w:ascii="Arial" w:hAnsi="Arial" w:eastAsia="Arial"/>
                <w:b/>
                <w:color w:val="FFFFFF"/>
                <w:sz w:val="16"/>
              </w:rPr>
              <w:t>Zamanlama</w:t>
            </w:r>
          </w:p>
        </w:tc>
        <w:tc>
          <w:tcPr>
            <w:tcW w:type="dxa" w:w="2808"/>
            <w:shd w:fill="1F4E79"/>
          </w:tcPr>
          <w:p>
            <w:pPr>
              <w:spacing w:after="0" w:before="0"/>
            </w:pPr>
            <w:r>
              <w:rPr>
                <w:rFonts w:ascii="Arial" w:hAnsi="Arial" w:eastAsia="Arial"/>
                <w:b/>
                <w:color w:val="FFFFFF"/>
                <w:sz w:val="16"/>
              </w:rPr>
              <w:t>İzleme Göstergesi</w:t>
            </w:r>
          </w:p>
        </w:tc>
        <w:tc>
          <w:tcPr>
            <w:tcW w:type="dxa" w:w="2664"/>
            <w:shd w:fill="1F4E79"/>
          </w:tcPr>
          <w:p>
            <w:pPr>
              <w:spacing w:after="0" w:before="0"/>
            </w:pPr>
            <w:r>
              <w:rPr>
                <w:rFonts w:ascii="Arial" w:hAnsi="Arial" w:eastAsia="Arial"/>
                <w:b/>
                <w:color w:val="FFFFFF"/>
                <w:sz w:val="16"/>
              </w:rPr>
              <w:t>Kanıt</w:t>
            </w:r>
          </w:p>
        </w:tc>
      </w:tr>
      <w:tr>
        <w:trPr>
          <w:cantSplit/>
        </w:trPr>
        <w:tc>
          <w:tcPr>
            <w:tcW w:type="dxa" w:w="503"/>
            <w:vAlign w:val="top"/>
          </w:tcPr>
          <w:p>
            <w:pPr>
              <w:spacing w:after="0" w:before="0"/>
            </w:pPr>
            <w:r>
              <w:rPr>
                <w:rFonts w:ascii="Arial" w:hAnsi="Arial" w:eastAsia="Arial"/>
                <w:sz w:val="16"/>
              </w:rPr>
              <w:t>5</w:t>
            </w:r>
          </w:p>
        </w:tc>
        <w:tc>
          <w:tcPr>
            <w:tcW w:type="dxa" w:w="1944"/>
            <w:vAlign w:val="top"/>
          </w:tcPr>
          <w:p>
            <w:pPr>
              <w:spacing w:after="0" w:before="0"/>
            </w:pPr>
            <w:r>
              <w:rPr>
                <w:rFonts w:ascii="Arial" w:hAnsi="Arial" w:eastAsia="Arial"/>
                <w:sz w:val="16"/>
              </w:rPr>
              <w:t>Etkinlik ücretlendirmesi ve erişilebilirlik</w:t>
            </w:r>
          </w:p>
        </w:tc>
        <w:tc>
          <w:tcPr>
            <w:tcW w:type="dxa" w:w="3384"/>
            <w:vAlign w:val="top"/>
          </w:tcPr>
          <w:p>
            <w:pPr>
              <w:spacing w:after="0" w:before="0"/>
            </w:pPr>
            <w:r>
              <w:rPr>
                <w:rFonts w:ascii="Arial" w:hAnsi="Arial" w:eastAsia="Arial"/>
                <w:sz w:val="16"/>
              </w:rPr>
              <w:t>Ücretli etkinlikler için öğrencilere ücretsiz kontenjan, indirimli kota veya erken kayıt avantajı sağlanması; hangi etkinliklerin fakülte/üniversite katkısıyla ücretsiz olduğu açıkça duyurulması.</w:t>
            </w:r>
          </w:p>
        </w:tc>
        <w:tc>
          <w:tcPr>
            <w:tcW w:type="dxa" w:w="1944"/>
            <w:vAlign w:val="top"/>
          </w:tcPr>
          <w:p>
            <w:pPr>
              <w:spacing w:after="0" w:before="0"/>
            </w:pPr>
            <w:r>
              <w:rPr>
                <w:rFonts w:ascii="Arial" w:hAnsi="Arial" w:eastAsia="Arial"/>
                <w:sz w:val="16"/>
              </w:rPr>
              <w:t>Dekanlık, Öğrenci İşleri, Etkinlik ve Sponsorluk Birimleri</w:t>
            </w:r>
          </w:p>
        </w:tc>
        <w:tc>
          <w:tcPr>
            <w:tcW w:type="dxa" w:w="1944"/>
            <w:vAlign w:val="top"/>
          </w:tcPr>
          <w:p>
            <w:pPr>
              <w:spacing w:after="0" w:before="0"/>
            </w:pPr>
            <w:r>
              <w:rPr>
                <w:rFonts w:ascii="Arial" w:hAnsi="Arial" w:eastAsia="Arial"/>
                <w:sz w:val="16"/>
              </w:rPr>
              <w:t>Etkinlik duyurusu öncesi</w:t>
            </w:r>
          </w:p>
        </w:tc>
        <w:tc>
          <w:tcPr>
            <w:tcW w:type="dxa" w:w="2808"/>
            <w:vAlign w:val="top"/>
          </w:tcPr>
          <w:p>
            <w:pPr>
              <w:spacing w:after="0" w:before="0"/>
            </w:pPr>
            <w:r>
              <w:rPr>
                <w:rFonts w:ascii="Arial" w:hAnsi="Arial" w:eastAsia="Arial"/>
                <w:sz w:val="16"/>
              </w:rPr>
              <w:t>Ücretli etkinliklere ilişkin şikâyetlerin azalması; öğrenci erişim oranının artması</w:t>
            </w:r>
          </w:p>
        </w:tc>
        <w:tc>
          <w:tcPr>
            <w:tcW w:type="dxa" w:w="2664"/>
            <w:vAlign w:val="top"/>
          </w:tcPr>
          <w:p>
            <w:pPr>
              <w:spacing w:after="0" w:before="0"/>
            </w:pPr>
            <w:r>
              <w:rPr>
                <w:rFonts w:ascii="Arial" w:hAnsi="Arial" w:eastAsia="Arial"/>
                <w:sz w:val="16"/>
              </w:rPr>
              <w:t>Ücret politikası duyuruları, sponsor anlaşmaları, kontenjan listeleri</w:t>
            </w:r>
          </w:p>
        </w:tc>
      </w:tr>
      <w:tr>
        <w:trPr>
          <w:cantSplit/>
        </w:trPr>
        <w:tc>
          <w:tcPr>
            <w:tcW w:type="dxa" w:w="503"/>
            <w:vAlign w:val="top"/>
          </w:tcPr>
          <w:p>
            <w:pPr>
              <w:spacing w:after="0" w:before="0"/>
            </w:pPr>
            <w:r>
              <w:rPr>
                <w:rFonts w:ascii="Arial" w:hAnsi="Arial" w:eastAsia="Arial"/>
                <w:sz w:val="16"/>
              </w:rPr>
              <w:t>6</w:t>
            </w:r>
          </w:p>
        </w:tc>
        <w:tc>
          <w:tcPr>
            <w:tcW w:type="dxa" w:w="1944"/>
            <w:vAlign w:val="top"/>
          </w:tcPr>
          <w:p>
            <w:pPr>
              <w:spacing w:after="0" w:before="0"/>
            </w:pPr>
            <w:r>
              <w:rPr>
                <w:rFonts w:ascii="Arial" w:hAnsi="Arial" w:eastAsia="Arial"/>
                <w:sz w:val="16"/>
              </w:rPr>
              <w:t>Fiziki erişim ve asansör takibi</w:t>
            </w:r>
          </w:p>
        </w:tc>
        <w:tc>
          <w:tcPr>
            <w:tcW w:type="dxa" w:w="3384"/>
            <w:vAlign w:val="top"/>
          </w:tcPr>
          <w:p>
            <w:pPr>
              <w:spacing w:after="0" w:before="0"/>
            </w:pPr>
            <w:r>
              <w:rPr>
                <w:rFonts w:ascii="Arial" w:hAnsi="Arial" w:eastAsia="Arial"/>
                <w:sz w:val="16"/>
              </w:rPr>
              <w:t>Asansörün kullanılabilirliği için düzenli bakım/takip mekanizması kurulması; arıza durumlarında öğrencilere iletişim kanalı ve çözüm süreci duyurulması.</w:t>
            </w:r>
          </w:p>
        </w:tc>
        <w:tc>
          <w:tcPr>
            <w:tcW w:type="dxa" w:w="1944"/>
            <w:vAlign w:val="top"/>
          </w:tcPr>
          <w:p>
            <w:pPr>
              <w:spacing w:after="0" w:before="0"/>
            </w:pPr>
            <w:r>
              <w:rPr>
                <w:rFonts w:ascii="Arial" w:hAnsi="Arial" w:eastAsia="Arial"/>
                <w:sz w:val="16"/>
              </w:rPr>
              <w:t>Dekanlık, Teknik İşler, İdari Birim</w:t>
            </w:r>
          </w:p>
        </w:tc>
        <w:tc>
          <w:tcPr>
            <w:tcW w:type="dxa" w:w="1944"/>
            <w:vAlign w:val="top"/>
          </w:tcPr>
          <w:p>
            <w:pPr>
              <w:spacing w:after="0" w:before="0"/>
            </w:pPr>
            <w:r>
              <w:rPr>
                <w:rFonts w:ascii="Arial" w:hAnsi="Arial" w:eastAsia="Arial"/>
                <w:sz w:val="16"/>
              </w:rPr>
              <w:t>Acil ve sürekli takip</w:t>
            </w:r>
          </w:p>
        </w:tc>
        <w:tc>
          <w:tcPr>
            <w:tcW w:type="dxa" w:w="2808"/>
            <w:vAlign w:val="top"/>
          </w:tcPr>
          <w:p>
            <w:pPr>
              <w:spacing w:after="0" w:before="0"/>
            </w:pPr>
            <w:r>
              <w:rPr>
                <w:rFonts w:ascii="Arial" w:hAnsi="Arial" w:eastAsia="Arial"/>
                <w:sz w:val="16"/>
              </w:rPr>
              <w:t>Asansör arızalarına müdahale süresinin kayıt altına alınması; erişilebilirlik şikâyetlerinin azalması</w:t>
            </w:r>
          </w:p>
        </w:tc>
        <w:tc>
          <w:tcPr>
            <w:tcW w:type="dxa" w:w="2664"/>
            <w:vAlign w:val="top"/>
          </w:tcPr>
          <w:p>
            <w:pPr>
              <w:spacing w:after="0" w:before="0"/>
            </w:pPr>
            <w:r>
              <w:rPr>
                <w:rFonts w:ascii="Arial" w:hAnsi="Arial" w:eastAsia="Arial"/>
                <w:sz w:val="16"/>
              </w:rPr>
              <w:t>Bakım formları, arıza bildirim kayıtları, duyurular</w:t>
            </w:r>
          </w:p>
        </w:tc>
      </w:tr>
      <w:tr>
        <w:trPr>
          <w:cantSplit/>
        </w:trPr>
        <w:tc>
          <w:tcPr>
            <w:tcW w:type="dxa" w:w="503"/>
            <w:vAlign w:val="top"/>
          </w:tcPr>
          <w:p>
            <w:pPr>
              <w:spacing w:after="0" w:before="0"/>
            </w:pPr>
            <w:r>
              <w:rPr>
                <w:rFonts w:ascii="Arial" w:hAnsi="Arial" w:eastAsia="Arial"/>
                <w:sz w:val="16"/>
              </w:rPr>
              <w:t>7</w:t>
            </w:r>
          </w:p>
        </w:tc>
        <w:tc>
          <w:tcPr>
            <w:tcW w:type="dxa" w:w="1944"/>
            <w:vAlign w:val="top"/>
          </w:tcPr>
          <w:p>
            <w:pPr>
              <w:spacing w:after="0" w:before="0"/>
            </w:pPr>
            <w:r>
              <w:rPr>
                <w:rFonts w:ascii="Arial" w:hAnsi="Arial" w:eastAsia="Arial"/>
                <w:sz w:val="16"/>
              </w:rPr>
              <w:t>Ders programı ve online/yüz yüze denge</w:t>
            </w:r>
          </w:p>
        </w:tc>
        <w:tc>
          <w:tcPr>
            <w:tcW w:type="dxa" w:w="3384"/>
            <w:vAlign w:val="top"/>
          </w:tcPr>
          <w:p>
            <w:pPr>
              <w:spacing w:after="0" w:before="0"/>
            </w:pPr>
            <w:r>
              <w:rPr>
                <w:rFonts w:ascii="Arial" w:hAnsi="Arial" w:eastAsia="Arial"/>
                <w:sz w:val="16"/>
              </w:rPr>
              <w:t>Öğrenci verimliliği, uygulama gerektiren derslerin niteliği ve bölüm ihtiyaçları dikkate alınarak ders saatleri ile online/yüz yüze ders dengesi gözden geçirilmelidir.</w:t>
            </w:r>
          </w:p>
        </w:tc>
        <w:tc>
          <w:tcPr>
            <w:tcW w:type="dxa" w:w="1944"/>
            <w:vAlign w:val="top"/>
          </w:tcPr>
          <w:p>
            <w:pPr>
              <w:spacing w:after="0" w:before="0"/>
            </w:pPr>
            <w:r>
              <w:rPr>
                <w:rFonts w:ascii="Arial" w:hAnsi="Arial" w:eastAsia="Arial"/>
                <w:sz w:val="16"/>
              </w:rPr>
              <w:t>Dekanlık, Bölüm Başkanlıkları, Ders Programı Sorumluları</w:t>
            </w:r>
          </w:p>
        </w:tc>
        <w:tc>
          <w:tcPr>
            <w:tcW w:type="dxa" w:w="1944"/>
            <w:vAlign w:val="top"/>
          </w:tcPr>
          <w:p>
            <w:pPr>
              <w:spacing w:after="0" w:before="0"/>
            </w:pPr>
            <w:r>
              <w:rPr>
                <w:rFonts w:ascii="Arial" w:hAnsi="Arial" w:eastAsia="Arial"/>
                <w:sz w:val="16"/>
              </w:rPr>
              <w:t>Ders programı hazırlık süreci</w:t>
            </w:r>
          </w:p>
        </w:tc>
        <w:tc>
          <w:tcPr>
            <w:tcW w:type="dxa" w:w="2808"/>
            <w:vAlign w:val="top"/>
          </w:tcPr>
          <w:p>
            <w:pPr>
              <w:spacing w:after="0" w:before="0"/>
            </w:pPr>
            <w:r>
              <w:rPr>
                <w:rFonts w:ascii="Arial" w:hAnsi="Arial" w:eastAsia="Arial"/>
                <w:sz w:val="16"/>
              </w:rPr>
              <w:t>Uygulamalı derslerde yüz yüze oranının artırılması; ders programına ilişkin geri bildirimlerin izlenmesi</w:t>
            </w:r>
          </w:p>
        </w:tc>
        <w:tc>
          <w:tcPr>
            <w:tcW w:type="dxa" w:w="2664"/>
            <w:vAlign w:val="top"/>
          </w:tcPr>
          <w:p>
            <w:pPr>
              <w:spacing w:after="0" w:before="0"/>
            </w:pPr>
            <w:r>
              <w:rPr>
                <w:rFonts w:ascii="Arial" w:hAnsi="Arial" w:eastAsia="Arial"/>
                <w:sz w:val="16"/>
              </w:rPr>
              <w:t>Ders programı revizyonları, bölüm kurulu kararları, öğrenci temsilcisi görüşleri</w:t>
            </w:r>
          </w:p>
        </w:tc>
      </w:tr>
      <w:tr>
        <w:trPr>
          <w:cantSplit/>
        </w:trPr>
        <w:tc>
          <w:tcPr>
            <w:tcW w:type="dxa" w:w="503"/>
            <w:vAlign w:val="top"/>
          </w:tcPr>
          <w:p>
            <w:pPr>
              <w:spacing w:after="0" w:before="0"/>
            </w:pPr>
            <w:r>
              <w:rPr>
                <w:rFonts w:ascii="Arial" w:hAnsi="Arial" w:eastAsia="Arial"/>
                <w:sz w:val="16"/>
              </w:rPr>
              <w:t>8</w:t>
            </w:r>
          </w:p>
        </w:tc>
        <w:tc>
          <w:tcPr>
            <w:tcW w:type="dxa" w:w="1944"/>
            <w:vAlign w:val="top"/>
          </w:tcPr>
          <w:p>
            <w:pPr>
              <w:spacing w:after="0" w:before="0"/>
            </w:pPr>
            <w:r>
              <w:rPr>
                <w:rFonts w:ascii="Arial" w:hAnsi="Arial" w:eastAsia="Arial"/>
                <w:sz w:val="16"/>
              </w:rPr>
              <w:t>Öğrenci merkezli öğretim ve iletişim</w:t>
            </w:r>
          </w:p>
        </w:tc>
        <w:tc>
          <w:tcPr>
            <w:tcW w:type="dxa" w:w="3384"/>
            <w:vAlign w:val="top"/>
          </w:tcPr>
          <w:p>
            <w:pPr>
              <w:spacing w:after="0" w:before="0"/>
            </w:pPr>
            <w:r>
              <w:rPr>
                <w:rFonts w:ascii="Arial" w:hAnsi="Arial" w:eastAsia="Arial"/>
                <w:sz w:val="16"/>
              </w:rPr>
              <w:t>Derslerde öğrenci katılımını artıran yöntemlerin kullanılması; öğretim elemanı-öğrenci iletişiminde yapıcı ve erişilebilir yaklaşımın güçlendirilmesi.</w:t>
            </w:r>
          </w:p>
        </w:tc>
        <w:tc>
          <w:tcPr>
            <w:tcW w:type="dxa" w:w="1944"/>
            <w:vAlign w:val="top"/>
          </w:tcPr>
          <w:p>
            <w:pPr>
              <w:spacing w:after="0" w:before="0"/>
            </w:pPr>
            <w:r>
              <w:rPr>
                <w:rFonts w:ascii="Arial" w:hAnsi="Arial" w:eastAsia="Arial"/>
                <w:sz w:val="16"/>
              </w:rPr>
              <w:t>Dekanlık, Bölüm Başkanlıkları, Akademik Personel</w:t>
            </w:r>
          </w:p>
        </w:tc>
        <w:tc>
          <w:tcPr>
            <w:tcW w:type="dxa" w:w="1944"/>
            <w:vAlign w:val="top"/>
          </w:tcPr>
          <w:p>
            <w:pPr>
              <w:spacing w:after="0" w:before="0"/>
            </w:pPr>
            <w:r>
              <w:rPr>
                <w:rFonts w:ascii="Arial" w:hAnsi="Arial" w:eastAsia="Arial"/>
                <w:sz w:val="16"/>
              </w:rPr>
              <w:t>Dönem içi sürekli</w:t>
            </w:r>
          </w:p>
        </w:tc>
        <w:tc>
          <w:tcPr>
            <w:tcW w:type="dxa" w:w="2808"/>
            <w:vAlign w:val="top"/>
          </w:tcPr>
          <w:p>
            <w:pPr>
              <w:spacing w:after="0" w:before="0"/>
            </w:pPr>
            <w:r>
              <w:rPr>
                <w:rFonts w:ascii="Arial" w:hAnsi="Arial" w:eastAsia="Arial"/>
                <w:sz w:val="16"/>
              </w:rPr>
              <w:t>Dönem sonu memnuniyet anketlerinde öğretim yaklaşımı ile ilgili olumlu geri bildirim oranının artması</w:t>
            </w:r>
          </w:p>
        </w:tc>
        <w:tc>
          <w:tcPr>
            <w:tcW w:type="dxa" w:w="2664"/>
            <w:vAlign w:val="top"/>
          </w:tcPr>
          <w:p>
            <w:pPr>
              <w:spacing w:after="0" w:before="0"/>
            </w:pPr>
            <w:r>
              <w:rPr>
                <w:rFonts w:ascii="Arial" w:hAnsi="Arial" w:eastAsia="Arial"/>
                <w:sz w:val="16"/>
              </w:rPr>
              <w:t>Akademik kurul tutanakları, hizmet içi eğitim kayıtları, danışmanlık görüşme kayıtları</w:t>
            </w:r>
          </w:p>
        </w:tc>
      </w:tr>
    </w:tbl>
    <w:p>
      <w:pPr>
        <w:sectPr>
          <w:pgSz w:w="16834" w:h="11909" w:orient="landscape"/>
          <w:pgMar w:top="648" w:right="648" w:bottom="648" w:left="648" w:header="720" w:footer="720" w:gutter="0"/>
          <w:cols w:space="720"/>
          <w:docGrid w:linePitch="360"/>
        </w:sectPr>
      </w:pPr>
    </w:p>
    <w:p>
      <w:pPr>
        <w:pStyle w:val="Heading1"/>
      </w:pPr>
      <w:r>
        <w:t>6. PUKÖ Döngüsüne Göre İzleme</w:t>
      </w:r>
    </w:p>
    <w:p>
      <w:r>
        <w:rPr>
          <w:b/>
        </w:rPr>
        <w:t xml:space="preserve">Planla: </w:t>
      </w:r>
      <w:r>
        <w:t>Dönem başında ders izlenceleri, etkinlik takvimi ve fiziki erişim ihtiyaçları öğrenci geri bildirimleri doğrultusunda güncellenmelidir.</w:t>
      </w:r>
    </w:p>
    <w:p>
      <w:r>
        <w:rPr>
          <w:b/>
        </w:rPr>
        <w:t xml:space="preserve">Uygula: </w:t>
      </w:r>
      <w:r>
        <w:t>Belirlenen iyileştirme faaliyetleri bölüm, komisyon ve idari birim sorumluluklarıyla dönem içinde yürütülmelidir.</w:t>
      </w:r>
    </w:p>
    <w:p>
      <w:r>
        <w:rPr>
          <w:b/>
        </w:rPr>
        <w:t xml:space="preserve">Kontrol Et: </w:t>
      </w:r>
      <w:r>
        <w:t>Ara dönem öğrenci geri bildirim toplantıları, etkinlik katılım verileri, bakım kayıtları ve ders memnuniyet anketleri ile gelişim izlenmelidir.</w:t>
      </w:r>
    </w:p>
    <w:p>
      <w:r>
        <w:rPr>
          <w:b/>
        </w:rPr>
        <w:t xml:space="preserve">Önlem Al: </w:t>
      </w:r>
      <w:r>
        <w:t>Dönem sonunda hedefe ulaşmayan başlıklarda ek aksiyon planı hazırlanmalı; sonraki dönem ders/etkinlik planlarına yansıtılmalıdır.</w:t>
      </w:r>
    </w:p>
    <w:p>
      <w:pPr>
        <w:pStyle w:val="Heading1"/>
      </w:pPr>
      <w:r>
        <w:t>7. Oluşturulması Önerilen Kanıtlar</w:t>
      </w:r>
    </w:p>
    <w:p>
      <w:pPr>
        <w:pStyle w:val="ListBullet"/>
      </w:pPr>
      <w:r>
        <w:t>Güncellenmiş ders izlenceleri ve uygulamalı ders planları</w:t>
      </w:r>
    </w:p>
    <w:p>
      <w:pPr>
        <w:pStyle w:val="ListBullet"/>
      </w:pPr>
      <w:r>
        <w:t>Etkinlik dönem takvimi ve duyuru ekran görüntüleri</w:t>
      </w:r>
    </w:p>
    <w:p>
      <w:pPr>
        <w:pStyle w:val="ListBullet"/>
      </w:pPr>
      <w:r>
        <w:t>Öğrenci temsilcileriyle yapılan görüşme/toplantı tutanakları</w:t>
      </w:r>
    </w:p>
    <w:p>
      <w:pPr>
        <w:pStyle w:val="ListBullet"/>
      </w:pPr>
      <w:r>
        <w:t>Etkinlik katılım listeleri, görevli öğrenci listeleri ve katılım belgeleri</w:t>
      </w:r>
    </w:p>
    <w:p>
      <w:pPr>
        <w:pStyle w:val="ListBullet"/>
      </w:pPr>
      <w:r>
        <w:t>Asansör/teknik altyapı bakım ve arıza takip formları</w:t>
      </w:r>
    </w:p>
    <w:p>
      <w:pPr>
        <w:pStyle w:val="ListBullet"/>
      </w:pPr>
      <w:r>
        <w:t>Ücretli etkinlikler için ücretsiz/indirimli kontenjan duyuruları</w:t>
      </w:r>
    </w:p>
    <w:p>
      <w:pPr>
        <w:pStyle w:val="ListBullet"/>
      </w:pPr>
      <w:r>
        <w:t>Ara dönem ve dönem sonu öğrenci memnuniyet karşılaştırma raporları</w:t>
      </w:r>
    </w:p>
    <w:p>
      <w:pPr>
        <w:pStyle w:val="ListBullet"/>
      </w:pPr>
      <w:r>
        <w:t>Bölüm kurulu ve akademik kurul kararları</w:t>
      </w:r>
    </w:p>
    <w:p>
      <w:pPr>
        <w:pStyle w:val="Heading1"/>
      </w:pPr>
      <w:r>
        <w:t>8. Sonuç</w:t>
      </w:r>
    </w:p>
    <w:p>
      <w:pPr>
        <w:jc w:val="both"/>
      </w:pPr>
      <w:r>
        <w:t>Anket sonuçları, öğrencilerin fakülte ve dersler hakkında genel olarak olumlu bir memnuniyet düzeyine sahip olduğunu göstermektedir. Bununla birlikte, açık uçlu geri bildirimler uygulamalı eğitim, etkinliklerin planlı yürütülmesi, etkinliklere erişilebilirlik, fiziki imkânlar ve öğrenci merkezli iletişim alanlarında somut iyileştirme beklentileri bulunduğunu ortaya koymaktadır. Önerilen faaliyetlerin uygulanması ve dönem sonunda yeniden ölçülmesi, kalite güvencesi süreçlerinin öğrenci geri bildirimleriyle desteklenmesine katkı sağlayacaktır.</w:t>
      </w:r>
    </w:p>
    <w:sectPr w:rsidR="00FC693F" w:rsidRPr="0006063C" w:rsidSect="00034616">
      <w:pgSz w:w="11909" w:h="16834"/>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Arial" w:hAnsi="Arial"/>
        <w:sz w:val="16"/>
      </w:rPr>
      <w:t>Öğrenci Geri Bildirimleri İyileştirme Raporu | 2025–2026 Bahar</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