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color w:val="1F4E79"/>
          <w:sz w:val="28"/>
        </w:rPr>
        <w:t>YAKIN DOĞU ÜNİVERSİTESİ</w:t>
        <w:br/>
        <w:t>İLETİŞİM FAKÜLTESİ</w:t>
      </w:r>
    </w:p>
    <w:p>
      <w:pPr>
        <w:jc w:val="center"/>
      </w:pPr>
      <w:r>
        <w:rPr>
          <w:rFonts w:ascii="Times New Roman" w:hAnsi="Times New Roman" w:eastAsia="Times New Roman"/>
          <w:b/>
          <w:sz w:val="26"/>
        </w:rPr>
        <w:t>LİSANSÜSTÜ TEZ SÜREÇLERİNDE KALİTE GÜVENCESİ VE</w:t>
        <w:br/>
        <w:t>BİLİMSEL ARAŞTIRMADA GÜNCEL YAKLAŞIMLAR EĞİTİMİ</w:t>
      </w:r>
    </w:p>
    <w:p>
      <w:pPr>
        <w:jc w:val="center"/>
      </w:pPr>
      <w:r>
        <w:rPr>
          <w:rFonts w:ascii="Times New Roman" w:hAnsi="Times New Roman" w:eastAsia="Times New Roman"/>
          <w:b/>
          <w:color w:val="1F4E79"/>
          <w:sz w:val="30"/>
        </w:rPr>
        <w:t>İYİLEŞTİRME RAPORU</w:t>
      </w:r>
    </w:p>
    <w:p>
      <w:pPr>
        <w:jc w:val="center"/>
      </w:pPr>
      <w:r>
        <w:rPr>
          <w:rFonts w:ascii="Times New Roman" w:hAnsi="Times New Roman" w:eastAsia="Times New Roman"/>
          <w:i/>
          <w:sz w:val="22"/>
        </w:rPr>
        <w:t>Rapor Tarihi: 06 Temmuz 2026</w:t>
      </w:r>
    </w:p>
    <w:p/>
    <w:p>
      <w:pPr>
        <w:pStyle w:val="Heading1"/>
        <w:spacing w:before="160" w:after="60"/>
      </w:pPr>
      <w:r>
        <w:rPr>
          <w:rFonts w:ascii="Times New Roman" w:hAnsi="Times New Roman" w:eastAsia="Times New Roman"/>
          <w:b/>
          <w:color w:val="1F4E79"/>
        </w:rPr>
        <w:t>1. Raporun Amacı</w:t>
      </w:r>
    </w:p>
    <w:p>
      <w:pPr>
        <w:pStyle w:val="BodyText"/>
        <w:spacing w:line="252" w:lineRule="auto" w:after="100"/>
        <w:jc w:val="both"/>
      </w:pPr>
      <w:r>
        <w:rPr>
          <w:rFonts w:ascii="Times New Roman" w:hAnsi="Times New Roman" w:eastAsia="Times New Roman"/>
          <w:sz w:val="22"/>
        </w:rPr>
        <w:t>Bu rapor, “Lisansüstü Tez Süreçlerinde Kalite Güvencesi ve Bilimsel Araştırmada Güncel Yaklaşımlar” başlıklı eğitime ilişkin değerlendirme anketi sonuçlarından hareketle belirlenen geliştirmeye açık alanları ve bu alanlara yönelik iyileştirme kararlarını kayıt altına almak amacıyla hazırlanmıştır.</w:t>
      </w:r>
    </w:p>
    <w:p>
      <w:pPr>
        <w:pStyle w:val="BodyText"/>
        <w:spacing w:line="252" w:lineRule="auto" w:after="100"/>
        <w:jc w:val="both"/>
      </w:pPr>
      <w:r>
        <w:rPr>
          <w:rFonts w:ascii="Times New Roman" w:hAnsi="Times New Roman" w:eastAsia="Times New Roman"/>
          <w:sz w:val="22"/>
        </w:rPr>
        <w:t>Rapor; eğitim memnuniyeti, katılımcı geri bildirimleri, nicel değerlendirme sonuçları ve açık uçlu yanıtlar temel alınarak hazırlanmış olup sonraki eğitim faaliyetlerinin planlanmasına, tez danışmanlığı süreçlerinin standartlaştırılmasına ve kalite güvencesi döngüsünün güçlendirilmesine katkı sağlamayı amaçlamaktadır.</w:t>
      </w:r>
    </w:p>
    <w:p>
      <w:pPr>
        <w:pStyle w:val="Heading1"/>
        <w:spacing w:before="160" w:after="60"/>
      </w:pPr>
      <w:r>
        <w:rPr>
          <w:rFonts w:ascii="Times New Roman" w:hAnsi="Times New Roman" w:eastAsia="Times New Roman"/>
          <w:b/>
          <w:color w:val="1F4E79"/>
        </w:rPr>
        <w:t>2. Dayanak ve Veri Kaynağı</w:t>
      </w:r>
    </w:p>
    <w:p>
      <w:pPr>
        <w:pStyle w:val="BodyText"/>
        <w:spacing w:line="252" w:lineRule="auto" w:after="100"/>
        <w:jc w:val="both"/>
      </w:pPr>
      <w:r>
        <w:rPr>
          <w:rFonts w:ascii="Times New Roman" w:hAnsi="Times New Roman" w:eastAsia="Times New Roman"/>
          <w:sz w:val="22"/>
        </w:rPr>
        <w:t>İyileştirme raporunun dayanağını, 1 Temmuz 2026 tarihinde çevrim içi olarak uygulanan eğitim değerlendirme anketi ve bu ankete ilişkin sonuç raporu oluşturmaktadır. Ankete toplam 14 katılımcı yanıt vermiştir. Nicel değerlendirme maddeleri 1-5 aralığında Likert ölçeği ile analiz edilmiş, açık uçlu yanıtlar ise tematik olarak değerlendirilmiştir.</w:t>
      </w:r>
    </w:p>
    <w:p>
      <w:pPr>
        <w:pStyle w:val="BodyText"/>
        <w:spacing w:line="252" w:lineRule="auto" w:after="100"/>
        <w:jc w:val="both"/>
      </w:pPr>
      <w:r>
        <w:rPr>
          <w:rFonts w:ascii="Times New Roman" w:hAnsi="Times New Roman" w:eastAsia="Times New Roman"/>
          <w:sz w:val="22"/>
        </w:rPr>
        <w:t>Eğitim değerlendirme sonuçlarında genel ortalama 4,58/5 olarak hesaplanmış; tüm Likert yanıtlarının %91,8’i “Katılıyorum” veya “Kesinlikle Katılıyorum” düzeyinde gerçekleşmiştir. 1 veya 2 puan verilen herhangi bir yanıt bulunmaması, eğitime yönelik genel memnuniyetin yüksek olduğunu göstermektedir. Bununla birlikte görece daha düşük ortalamaya sahip maddeler ve açık uçlu yanıtlar, iyileştirme kararlarının belirlenmesinde temel girdi olarak kullanılmıştır.</w:t>
      </w:r>
    </w:p>
    <w:p>
      <w:pPr>
        <w:pStyle w:val="Heading1"/>
        <w:spacing w:before="160" w:after="60"/>
      </w:pPr>
      <w:r>
        <w:rPr>
          <w:rFonts w:ascii="Times New Roman" w:hAnsi="Times New Roman" w:eastAsia="Times New Roman"/>
          <w:b/>
          <w:color w:val="1F4E79"/>
        </w:rPr>
        <w:t>3. Değerlendirme Sonuçlarının Özeti</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3289"/>
        <w:gridCol w:w="3289"/>
        <w:gridCol w:w="3289"/>
      </w:tblGrid>
      <w:tr>
        <w:trPr>
          <w:tblHeader w:val="true"/>
          <w:cantSplit/>
        </w:trPr>
        <w:tc>
          <w:tcPr>
            <w:tcW w:type="dxa" w:w="2551"/>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Gösterge</w:t>
            </w:r>
          </w:p>
        </w:tc>
        <w:tc>
          <w:tcPr>
            <w:tcW w:type="dxa" w:w="1304"/>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Sonuç</w:t>
            </w:r>
          </w:p>
        </w:tc>
        <w:tc>
          <w:tcPr>
            <w:tcW w:type="dxa" w:w="5896"/>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Değerlendirme</w:t>
            </w:r>
          </w:p>
        </w:tc>
      </w:tr>
      <w:tr>
        <w:trPr>
          <w:cantSplit/>
        </w:trPr>
        <w:tc>
          <w:tcPr>
            <w:tcW w:type="dxa" w:w="25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Genel memnuniyet ortalaması</w:t>
            </w:r>
          </w:p>
        </w:tc>
        <w:tc>
          <w:tcPr>
            <w:tcW w:type="dxa" w:w="130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4,58/5</w:t>
            </w:r>
          </w:p>
        </w:tc>
        <w:tc>
          <w:tcPr>
            <w:tcW w:type="dxa" w:w="5896"/>
            <w:vAlign w:val="top"/>
          </w:tcPr>
          <w:p>
            <w:pPr>
              <w:spacing w:after="40" w:before="0"/>
            </w:pPr>
            <w:r>
              <w:rPr>
                <w:rFonts w:ascii="Times New Roman" w:hAnsi="Times New Roman" w:eastAsia="Times New Roman"/>
                <w:sz w:val="18"/>
              </w:rPr>
            </w:r>
            <w:r>
              <w:rPr>
                <w:rFonts w:ascii="Times New Roman" w:hAnsi="Times New Roman" w:eastAsia="Times New Roman"/>
                <w:b w:val="0"/>
                <w:sz w:val="18"/>
              </w:rPr>
              <w:t>Eğitimin genel olarak yüksek düzeyde olumlu değerlendirildiğini göstermektedir.</w:t>
            </w:r>
          </w:p>
        </w:tc>
      </w:tr>
      <w:tr>
        <w:trPr>
          <w:cantSplit/>
        </w:trPr>
        <w:tc>
          <w:tcPr>
            <w:tcW w:type="dxa" w:w="25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Olumlu yanıt oranı</w:t>
            </w:r>
          </w:p>
        </w:tc>
        <w:tc>
          <w:tcPr>
            <w:tcW w:type="dxa" w:w="130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%91,8</w:t>
            </w:r>
          </w:p>
        </w:tc>
        <w:tc>
          <w:tcPr>
            <w:tcW w:type="dxa" w:w="5896"/>
            <w:vAlign w:val="top"/>
          </w:tcPr>
          <w:p>
            <w:pPr>
              <w:spacing w:after="40" w:before="0"/>
            </w:pPr>
            <w:r>
              <w:rPr>
                <w:rFonts w:ascii="Times New Roman" w:hAnsi="Times New Roman" w:eastAsia="Times New Roman"/>
                <w:sz w:val="18"/>
              </w:rPr>
            </w:r>
            <w:r>
              <w:rPr>
                <w:rFonts w:ascii="Times New Roman" w:hAnsi="Times New Roman" w:eastAsia="Times New Roman"/>
                <w:b w:val="0"/>
                <w:sz w:val="18"/>
              </w:rPr>
              <w:t>Katılımcıların büyük çoğunluğu maddelere “Katılıyorum” veya “Kesinlikle Katılıyorum” düzeyinde yanıt vermiştir.</w:t>
            </w:r>
          </w:p>
        </w:tc>
      </w:tr>
      <w:tr>
        <w:trPr>
          <w:cantSplit/>
        </w:trPr>
        <w:tc>
          <w:tcPr>
            <w:tcW w:type="dxa" w:w="25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Olumsuz yanıt durumu</w:t>
            </w:r>
          </w:p>
        </w:tc>
        <w:tc>
          <w:tcPr>
            <w:tcW w:type="dxa" w:w="130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0 yanıt</w:t>
            </w:r>
          </w:p>
        </w:tc>
        <w:tc>
          <w:tcPr>
            <w:tcW w:type="dxa" w:w="5896"/>
            <w:vAlign w:val="top"/>
          </w:tcPr>
          <w:p>
            <w:pPr>
              <w:spacing w:after="40" w:before="0"/>
            </w:pPr>
            <w:r>
              <w:rPr>
                <w:rFonts w:ascii="Times New Roman" w:hAnsi="Times New Roman" w:eastAsia="Times New Roman"/>
                <w:sz w:val="18"/>
              </w:rPr>
            </w:r>
            <w:r>
              <w:rPr>
                <w:rFonts w:ascii="Times New Roman" w:hAnsi="Times New Roman" w:eastAsia="Times New Roman"/>
                <w:b w:val="0"/>
                <w:sz w:val="18"/>
              </w:rPr>
              <w:t>1 veya 2 puan verilen yanıt bulunmamaktadır.</w:t>
            </w:r>
          </w:p>
        </w:tc>
      </w:tr>
      <w:tr>
        <w:trPr>
          <w:cantSplit/>
        </w:trPr>
        <w:tc>
          <w:tcPr>
            <w:tcW w:type="dxa" w:w="25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Katılımcı sayısı</w:t>
            </w:r>
          </w:p>
        </w:tc>
        <w:tc>
          <w:tcPr>
            <w:tcW w:type="dxa" w:w="130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14</w:t>
            </w:r>
          </w:p>
        </w:tc>
        <w:tc>
          <w:tcPr>
            <w:tcW w:type="dxa" w:w="5896"/>
            <w:vAlign w:val="top"/>
          </w:tcPr>
          <w:p>
            <w:pPr>
              <w:spacing w:after="40" w:before="0"/>
            </w:pPr>
            <w:r>
              <w:rPr>
                <w:rFonts w:ascii="Times New Roman" w:hAnsi="Times New Roman" w:eastAsia="Times New Roman"/>
                <w:sz w:val="18"/>
              </w:rPr>
            </w:r>
            <w:r>
              <w:rPr>
                <w:rFonts w:ascii="Times New Roman" w:hAnsi="Times New Roman" w:eastAsia="Times New Roman"/>
                <w:b w:val="0"/>
                <w:sz w:val="18"/>
              </w:rPr>
              <w:t>Farklı akademik unvan ve bölümlerden katılım sağlanmıştır.</w:t>
            </w:r>
          </w:p>
        </w:tc>
      </w:tr>
    </w:tbl>
    <w:p>
      <w:r>
        <w:br w:type="page"/>
      </w:r>
    </w:p>
    <w:p>
      <w:pPr>
        <w:pStyle w:val="Heading1"/>
        <w:spacing w:before="160" w:after="60"/>
      </w:pPr>
      <w:r>
        <w:rPr>
          <w:rFonts w:ascii="Times New Roman" w:hAnsi="Times New Roman" w:eastAsia="Times New Roman"/>
          <w:b/>
          <w:color w:val="1F4E79"/>
        </w:rPr>
        <w:t>4. Güçlü Yönler</w:t>
      </w:r>
    </w:p>
    <w:p>
      <w:pPr>
        <w:pStyle w:val="BodyText"/>
        <w:spacing w:line="252" w:lineRule="auto" w:after="100"/>
        <w:jc w:val="both"/>
      </w:pPr>
      <w:r>
        <w:rPr>
          <w:rFonts w:ascii="Times New Roman" w:hAnsi="Times New Roman" w:eastAsia="Times New Roman"/>
          <w:sz w:val="22"/>
        </w:rPr>
        <w:t>Anket sonuçları, eğitimin amaç ve kapsamının açık biçimde ifade edilmesi, tez yazım kuralları ve akademik dilin aktarılması, bilimsel araştırma yönteminin tez konusu ve araştırma sorularıyla ilişkilendirilmesi, akademik etik konularının ele alınması ve eğitmenin konuya hâkimiyeti bakımından güçlü bir yapı sunduğunu göstermektedir.</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rPr>
          <w:tblHeader w:val="true"/>
          <w:cantSplit/>
        </w:trPr>
        <w:tc>
          <w:tcPr>
            <w:tcW w:type="dxa" w:w="8278"/>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Güçlü Alan</w:t>
            </w:r>
          </w:p>
        </w:tc>
        <w:tc>
          <w:tcPr>
            <w:tcW w:type="dxa" w:w="1474"/>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Ortalama</w:t>
            </w:r>
          </w:p>
        </w:tc>
      </w:tr>
      <w:tr>
        <w:trPr>
          <w:cantSplit/>
        </w:trPr>
        <w:tc>
          <w:tcPr>
            <w:tcW w:type="dxa" w:w="8278"/>
            <w:vAlign w:val="top"/>
          </w:tcPr>
          <w:p>
            <w:pPr>
              <w:spacing w:after="40" w:before="0"/>
            </w:pPr>
            <w:r>
              <w:rPr>
                <w:rFonts w:ascii="Times New Roman" w:hAnsi="Times New Roman" w:eastAsia="Times New Roman"/>
                <w:sz w:val="18"/>
              </w:rPr>
            </w:r>
            <w:r>
              <w:rPr>
                <w:rFonts w:ascii="Times New Roman" w:hAnsi="Times New Roman" w:eastAsia="Times New Roman"/>
                <w:b w:val="0"/>
                <w:sz w:val="18"/>
              </w:rPr>
              <w:t>Eğitimin amacı ve kapsamının açık biçimde ifade edilmesi</w:t>
            </w:r>
          </w:p>
        </w:tc>
        <w:tc>
          <w:tcPr>
            <w:tcW w:type="dxa" w:w="147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4,79</w:t>
            </w:r>
          </w:p>
        </w:tc>
      </w:tr>
      <w:tr>
        <w:trPr>
          <w:cantSplit/>
        </w:trPr>
        <w:tc>
          <w:tcPr>
            <w:tcW w:type="dxa" w:w="8278"/>
            <w:vAlign w:val="top"/>
          </w:tcPr>
          <w:p>
            <w:pPr>
              <w:spacing w:after="40" w:before="0"/>
            </w:pPr>
            <w:r>
              <w:rPr>
                <w:rFonts w:ascii="Times New Roman" w:hAnsi="Times New Roman" w:eastAsia="Times New Roman"/>
                <w:sz w:val="18"/>
              </w:rPr>
            </w:r>
            <w:r>
              <w:rPr>
                <w:rFonts w:ascii="Times New Roman" w:hAnsi="Times New Roman" w:eastAsia="Times New Roman"/>
                <w:b w:val="0"/>
                <w:sz w:val="18"/>
              </w:rPr>
              <w:t>Tez yazım kuralları, akademik dil, bölüm düzeni, kaynak gösterme ve biçimsel koşulların aktarılması</w:t>
            </w:r>
          </w:p>
        </w:tc>
        <w:tc>
          <w:tcPr>
            <w:tcW w:type="dxa" w:w="147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4,71</w:t>
            </w:r>
          </w:p>
        </w:tc>
      </w:tr>
      <w:tr>
        <w:trPr>
          <w:cantSplit/>
        </w:trPr>
        <w:tc>
          <w:tcPr>
            <w:tcW w:type="dxa" w:w="8278"/>
            <w:vAlign w:val="top"/>
          </w:tcPr>
          <w:p>
            <w:pPr>
              <w:spacing w:after="40" w:before="0"/>
            </w:pPr>
            <w:r>
              <w:rPr>
                <w:rFonts w:ascii="Times New Roman" w:hAnsi="Times New Roman" w:eastAsia="Times New Roman"/>
                <w:sz w:val="18"/>
              </w:rPr>
            </w:r>
            <w:r>
              <w:rPr>
                <w:rFonts w:ascii="Times New Roman" w:hAnsi="Times New Roman" w:eastAsia="Times New Roman"/>
                <w:b w:val="0"/>
                <w:sz w:val="18"/>
              </w:rPr>
              <w:t>Bilimsel araştırma yönteminin tez konusu ve araştırma sorularıyla uyumlu biçimde belirlenmesine ilişkin açıklamalar</w:t>
            </w:r>
          </w:p>
        </w:tc>
        <w:tc>
          <w:tcPr>
            <w:tcW w:type="dxa" w:w="147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4,69</w:t>
            </w:r>
          </w:p>
        </w:tc>
      </w:tr>
      <w:tr>
        <w:trPr>
          <w:cantSplit/>
        </w:trPr>
        <w:tc>
          <w:tcPr>
            <w:tcW w:type="dxa" w:w="8278"/>
            <w:vAlign w:val="top"/>
          </w:tcPr>
          <w:p>
            <w:pPr>
              <w:spacing w:after="40" w:before="0"/>
            </w:pPr>
            <w:r>
              <w:rPr>
                <w:rFonts w:ascii="Times New Roman" w:hAnsi="Times New Roman" w:eastAsia="Times New Roman"/>
                <w:sz w:val="18"/>
              </w:rPr>
            </w:r>
            <w:r>
              <w:rPr>
                <w:rFonts w:ascii="Times New Roman" w:hAnsi="Times New Roman" w:eastAsia="Times New Roman"/>
                <w:b w:val="0"/>
                <w:sz w:val="18"/>
              </w:rPr>
              <w:t>Lisansüstü tez yönetimi süreçlerine ilişkin bilgi ve farkındalığın artması</w:t>
            </w:r>
          </w:p>
        </w:tc>
        <w:tc>
          <w:tcPr>
            <w:tcW w:type="dxa" w:w="147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4,64</w:t>
            </w:r>
          </w:p>
        </w:tc>
      </w:tr>
      <w:tr>
        <w:trPr>
          <w:cantSplit/>
        </w:trPr>
        <w:tc>
          <w:tcPr>
            <w:tcW w:type="dxa" w:w="8278"/>
            <w:vAlign w:val="top"/>
          </w:tcPr>
          <w:p>
            <w:pPr>
              <w:spacing w:after="40" w:before="0"/>
            </w:pPr>
            <w:r>
              <w:rPr>
                <w:rFonts w:ascii="Times New Roman" w:hAnsi="Times New Roman" w:eastAsia="Times New Roman"/>
                <w:sz w:val="18"/>
              </w:rPr>
            </w:r>
            <w:r>
              <w:rPr>
                <w:rFonts w:ascii="Times New Roman" w:hAnsi="Times New Roman" w:eastAsia="Times New Roman"/>
                <w:b w:val="0"/>
                <w:sz w:val="18"/>
              </w:rPr>
              <w:t>Tez danışmanının görev ve sorumluluklarının anlaşılır biçimde açıklanması</w:t>
            </w:r>
          </w:p>
        </w:tc>
        <w:tc>
          <w:tcPr>
            <w:tcW w:type="dxa" w:w="1474"/>
            <w:vAlign w:val="top"/>
          </w:tcPr>
          <w:p>
            <w:pPr>
              <w:spacing w:after="40" w:before="0"/>
            </w:pPr>
            <w:r>
              <w:rPr>
                <w:rFonts w:ascii="Times New Roman" w:hAnsi="Times New Roman" w:eastAsia="Times New Roman"/>
                <w:sz w:val="18"/>
              </w:rPr>
            </w:r>
            <w:r>
              <w:rPr>
                <w:rFonts w:ascii="Times New Roman" w:hAnsi="Times New Roman" w:eastAsia="Times New Roman"/>
                <w:b w:val="0"/>
                <w:sz w:val="18"/>
              </w:rPr>
              <w:t>4,64</w:t>
            </w:r>
          </w:p>
        </w:tc>
      </w:tr>
    </w:tbl>
    <w:p/>
    <w:p>
      <w:pPr>
        <w:pStyle w:val="Heading1"/>
        <w:spacing w:before="160" w:after="60"/>
      </w:pPr>
      <w:r>
        <w:rPr>
          <w:rFonts w:ascii="Times New Roman" w:hAnsi="Times New Roman" w:eastAsia="Times New Roman"/>
          <w:b/>
          <w:color w:val="1F4E79"/>
        </w:rPr>
        <w:t>5. Geliştirmeye Açık Alanlar</w:t>
      </w:r>
    </w:p>
    <w:p>
      <w:pPr>
        <w:pStyle w:val="BodyText"/>
        <w:spacing w:line="252" w:lineRule="auto" w:after="100"/>
        <w:jc w:val="both"/>
      </w:pPr>
      <w:r>
        <w:rPr>
          <w:rFonts w:ascii="Times New Roman" w:hAnsi="Times New Roman" w:eastAsia="Times New Roman"/>
          <w:sz w:val="22"/>
        </w:rPr>
        <w:t>Görece daha düşük ortalamaya sahip maddeler olumlu düzeyde olmakla birlikte, sonraki uygulamalarda içeriklerin daha fazla örnek, uygulama ve süreç standardı ile desteklenmesi gerektiğine işaret etmektedir. Açık uçlu yanıtlar da danışman-öğrenci iletişimi, zamanında geri bildirim, kaynak araştırması, yapay zekânın etik kullanımı ve tez konusu/araştırma probleminin yapılandırılması konularında iyileştirme ihtiyacını ortaya koymaktadır.</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3289"/>
        <w:gridCol w:w="3289"/>
        <w:gridCol w:w="3289"/>
      </w:tblGrid>
      <w:tr>
        <w:trPr>
          <w:tblHeader w:val="true"/>
          <w:cantSplit/>
        </w:trPr>
        <w:tc>
          <w:tcPr>
            <w:tcW w:type="dxa" w:w="4989"/>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Geliştirmeye Açık Alan</w:t>
            </w:r>
          </w:p>
        </w:tc>
        <w:tc>
          <w:tcPr>
            <w:tcW w:type="dxa" w:w="1134"/>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Ortalama</w:t>
            </w:r>
          </w:p>
        </w:tc>
        <w:tc>
          <w:tcPr>
            <w:tcW w:type="dxa" w:w="3628"/>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İyileştirme İhtiyacı</w:t>
            </w:r>
          </w:p>
        </w:tc>
      </w:tr>
      <w:tr>
        <w:trPr>
          <w:cantSplit/>
        </w:trPr>
        <w:tc>
          <w:tcPr>
            <w:tcW w:type="dxa" w:w="4989"/>
            <w:vAlign w:val="top"/>
          </w:tcPr>
          <w:p>
            <w:pPr>
              <w:spacing w:after="40" w:before="0"/>
            </w:pPr>
            <w:r>
              <w:rPr>
                <w:rFonts w:ascii="Times New Roman" w:hAnsi="Times New Roman" w:eastAsia="Times New Roman"/>
                <w:sz w:val="17"/>
              </w:rPr>
            </w:r>
            <w:r>
              <w:rPr>
                <w:rFonts w:ascii="Times New Roman" w:hAnsi="Times New Roman" w:eastAsia="Times New Roman"/>
                <w:b w:val="0"/>
                <w:sz w:val="17"/>
              </w:rPr>
              <w:t>Eğitim genel olarak beklentilerimi karşılamıştır.</w:t>
            </w:r>
          </w:p>
        </w:tc>
        <w:tc>
          <w:tcPr>
            <w:tcW w:type="dxa" w:w="1134"/>
            <w:vAlign w:val="top"/>
          </w:tcPr>
          <w:p>
            <w:pPr>
              <w:spacing w:after="40" w:before="0"/>
            </w:pPr>
            <w:r>
              <w:rPr>
                <w:rFonts w:ascii="Times New Roman" w:hAnsi="Times New Roman" w:eastAsia="Times New Roman"/>
                <w:sz w:val="17"/>
              </w:rPr>
            </w:r>
            <w:r>
              <w:rPr>
                <w:rFonts w:ascii="Times New Roman" w:hAnsi="Times New Roman" w:eastAsia="Times New Roman"/>
                <w:b w:val="0"/>
                <w:sz w:val="17"/>
              </w:rPr>
              <w:t>4,31</w:t>
            </w:r>
          </w:p>
        </w:tc>
        <w:tc>
          <w:tcPr>
            <w:tcW w:type="dxa" w:w="3628"/>
            <w:vAlign w:val="top"/>
          </w:tcPr>
          <w:p>
            <w:pPr>
              <w:spacing w:after="40" w:before="0"/>
            </w:pPr>
            <w:r>
              <w:rPr>
                <w:rFonts w:ascii="Times New Roman" w:hAnsi="Times New Roman" w:eastAsia="Times New Roman"/>
                <w:sz w:val="17"/>
              </w:rPr>
            </w:r>
            <w:r>
              <w:rPr>
                <w:rFonts w:ascii="Times New Roman" w:hAnsi="Times New Roman" w:eastAsia="Times New Roman"/>
                <w:b w:val="0"/>
                <w:sz w:val="17"/>
              </w:rPr>
              <w:t>Beklenti yönetimi ve içerik çeşitliliği güçlendirilmelidir.</w:t>
            </w:r>
          </w:p>
        </w:tc>
      </w:tr>
      <w:tr>
        <w:trPr>
          <w:cantSplit/>
        </w:trPr>
        <w:tc>
          <w:tcPr>
            <w:tcW w:type="dxa" w:w="4989"/>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önerisinin hazırlanması ve araştırma sürecinin planlanmasına ilişkin açıklamalar yeterlidir.</w:t>
            </w:r>
          </w:p>
        </w:tc>
        <w:tc>
          <w:tcPr>
            <w:tcW w:type="dxa" w:w="1134"/>
            <w:vAlign w:val="top"/>
          </w:tcPr>
          <w:p>
            <w:pPr>
              <w:spacing w:after="40" w:before="0"/>
            </w:pPr>
            <w:r>
              <w:rPr>
                <w:rFonts w:ascii="Times New Roman" w:hAnsi="Times New Roman" w:eastAsia="Times New Roman"/>
                <w:sz w:val="17"/>
              </w:rPr>
            </w:r>
            <w:r>
              <w:rPr>
                <w:rFonts w:ascii="Times New Roman" w:hAnsi="Times New Roman" w:eastAsia="Times New Roman"/>
                <w:b w:val="0"/>
                <w:sz w:val="17"/>
              </w:rPr>
              <w:t>4,43</w:t>
            </w:r>
          </w:p>
        </w:tc>
        <w:tc>
          <w:tcPr>
            <w:tcW w:type="dxa" w:w="3628"/>
            <w:vAlign w:val="top"/>
          </w:tcPr>
          <w:p>
            <w:pPr>
              <w:spacing w:after="40" w:before="0"/>
            </w:pPr>
            <w:r>
              <w:rPr>
                <w:rFonts w:ascii="Times New Roman" w:hAnsi="Times New Roman" w:eastAsia="Times New Roman"/>
                <w:sz w:val="17"/>
              </w:rPr>
            </w:r>
            <w:r>
              <w:rPr>
                <w:rFonts w:ascii="Times New Roman" w:hAnsi="Times New Roman" w:eastAsia="Times New Roman"/>
                <w:b w:val="0"/>
                <w:sz w:val="17"/>
              </w:rPr>
              <w:t>Uygulamalı tez önerisi ve araştırma planlama çalışmaları artırılmalıdır.</w:t>
            </w:r>
          </w:p>
        </w:tc>
      </w:tr>
      <w:tr>
        <w:trPr>
          <w:cantSplit/>
        </w:trPr>
        <w:tc>
          <w:tcPr>
            <w:tcW w:type="dxa" w:w="4989"/>
            <w:vAlign w:val="top"/>
          </w:tcPr>
          <w:p>
            <w:pPr>
              <w:spacing w:after="40" w:before="0"/>
            </w:pPr>
            <w:r>
              <w:rPr>
                <w:rFonts w:ascii="Times New Roman" w:hAnsi="Times New Roman" w:eastAsia="Times New Roman"/>
                <w:sz w:val="17"/>
              </w:rPr>
            </w:r>
            <w:r>
              <w:rPr>
                <w:rFonts w:ascii="Times New Roman" w:hAnsi="Times New Roman" w:eastAsia="Times New Roman"/>
                <w:b w:val="0"/>
                <w:sz w:val="17"/>
              </w:rPr>
              <w:t>Eğitimde verilen örnekler ve açıklamalar konunun anlaşılmasını kolaylaştırmıştır.</w:t>
            </w:r>
          </w:p>
        </w:tc>
        <w:tc>
          <w:tcPr>
            <w:tcW w:type="dxa" w:w="1134"/>
            <w:vAlign w:val="top"/>
          </w:tcPr>
          <w:p>
            <w:pPr>
              <w:spacing w:after="40" w:before="0"/>
            </w:pPr>
            <w:r>
              <w:rPr>
                <w:rFonts w:ascii="Times New Roman" w:hAnsi="Times New Roman" w:eastAsia="Times New Roman"/>
                <w:sz w:val="17"/>
              </w:rPr>
            </w:r>
            <w:r>
              <w:rPr>
                <w:rFonts w:ascii="Times New Roman" w:hAnsi="Times New Roman" w:eastAsia="Times New Roman"/>
                <w:b w:val="0"/>
                <w:sz w:val="17"/>
              </w:rPr>
              <w:t>4,43</w:t>
            </w:r>
          </w:p>
        </w:tc>
        <w:tc>
          <w:tcPr>
            <w:tcW w:type="dxa" w:w="3628"/>
            <w:vAlign w:val="top"/>
          </w:tcPr>
          <w:p>
            <w:pPr>
              <w:spacing w:after="40" w:before="0"/>
            </w:pPr>
            <w:r>
              <w:rPr>
                <w:rFonts w:ascii="Times New Roman" w:hAnsi="Times New Roman" w:eastAsia="Times New Roman"/>
                <w:sz w:val="17"/>
              </w:rPr>
            </w:r>
            <w:r>
              <w:rPr>
                <w:rFonts w:ascii="Times New Roman" w:hAnsi="Times New Roman" w:eastAsia="Times New Roman"/>
                <w:b w:val="0"/>
                <w:sz w:val="17"/>
              </w:rPr>
              <w:t>Örnek olaylar, form örnekleri ve uygulama senaryoları çoğaltılmalıdır.</w:t>
            </w:r>
          </w:p>
        </w:tc>
      </w:tr>
      <w:tr>
        <w:trPr>
          <w:cantSplit/>
        </w:trPr>
        <w:tc>
          <w:tcPr>
            <w:tcW w:type="dxa" w:w="4989"/>
            <w:vAlign w:val="top"/>
          </w:tcPr>
          <w:p>
            <w:pPr>
              <w:spacing w:after="40" w:before="0"/>
            </w:pPr>
            <w:r>
              <w:rPr>
                <w:rFonts w:ascii="Times New Roman" w:hAnsi="Times New Roman" w:eastAsia="Times New Roman"/>
                <w:sz w:val="17"/>
              </w:rPr>
            </w:r>
            <w:r>
              <w:rPr>
                <w:rFonts w:ascii="Times New Roman" w:hAnsi="Times New Roman" w:eastAsia="Times New Roman"/>
                <w:b w:val="0"/>
                <w:sz w:val="17"/>
              </w:rPr>
              <w:t>Öğrenci-danışman iletişimi ve düzenli geri bildirim sürecinin önemi yeterince vurgulanmıştır.</w:t>
            </w:r>
          </w:p>
        </w:tc>
        <w:tc>
          <w:tcPr>
            <w:tcW w:type="dxa" w:w="1134"/>
            <w:vAlign w:val="top"/>
          </w:tcPr>
          <w:p>
            <w:pPr>
              <w:spacing w:after="40" w:before="0"/>
            </w:pPr>
            <w:r>
              <w:rPr>
                <w:rFonts w:ascii="Times New Roman" w:hAnsi="Times New Roman" w:eastAsia="Times New Roman"/>
                <w:sz w:val="17"/>
              </w:rPr>
            </w:r>
            <w:r>
              <w:rPr>
                <w:rFonts w:ascii="Times New Roman" w:hAnsi="Times New Roman" w:eastAsia="Times New Roman"/>
                <w:b w:val="0"/>
                <w:sz w:val="17"/>
              </w:rPr>
              <w:t>4,50</w:t>
            </w:r>
          </w:p>
        </w:tc>
        <w:tc>
          <w:tcPr>
            <w:tcW w:type="dxa" w:w="3628"/>
            <w:vAlign w:val="top"/>
          </w:tcPr>
          <w:p>
            <w:pPr>
              <w:spacing w:after="40" w:before="0"/>
            </w:pPr>
            <w:r>
              <w:rPr>
                <w:rFonts w:ascii="Times New Roman" w:hAnsi="Times New Roman" w:eastAsia="Times New Roman"/>
                <w:sz w:val="17"/>
              </w:rPr>
            </w:r>
            <w:r>
              <w:rPr>
                <w:rFonts w:ascii="Times New Roman" w:hAnsi="Times New Roman" w:eastAsia="Times New Roman"/>
                <w:b w:val="0"/>
                <w:sz w:val="17"/>
              </w:rPr>
              <w:t>Danışmanlık görüşmeleri ve geri bildirim takvimi standartlaştırılmalıdır.</w:t>
            </w:r>
          </w:p>
        </w:tc>
      </w:tr>
    </w:tbl>
    <w:p/>
    <w:p>
      <w:pPr>
        <w:pStyle w:val="Heading1"/>
        <w:spacing w:before="160" w:after="60"/>
      </w:pPr>
      <w:r>
        <w:rPr>
          <w:rFonts w:ascii="Times New Roman" w:hAnsi="Times New Roman" w:eastAsia="Times New Roman"/>
          <w:b/>
          <w:color w:val="1F4E79"/>
        </w:rPr>
        <w:t>6. Alınan İyileştirme Kararları</w:t>
      </w:r>
    </w:p>
    <w:p>
      <w:pPr>
        <w:pStyle w:val="BodyText"/>
        <w:spacing w:line="252" w:lineRule="auto" w:after="100"/>
        <w:jc w:val="both"/>
      </w:pPr>
      <w:r>
        <w:rPr>
          <w:rFonts w:ascii="Times New Roman" w:hAnsi="Times New Roman" w:eastAsia="Times New Roman"/>
          <w:sz w:val="22"/>
        </w:rPr>
        <w:t>Aşağıdaki kararlar, eğitim değerlendirme anketinde elde edilen nicel bulgular ve açık uçlu katılımcı görüşleri dikkate alınarak oluşturulmuştur. Her karar uygulanabilir faaliyet, sorumlu birim, zamanlama, kanıt ve izleme göstergesi ile ilişkilendirilmiştir.</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3289"/>
        <w:gridCol w:w="3289"/>
        <w:gridCol w:w="3289"/>
      </w:tblGrid>
      <w:tr>
        <w:trPr>
          <w:tblHeader w:val="true"/>
          <w:cantSplit/>
        </w:trPr>
        <w:tc>
          <w:tcPr>
            <w:tcW w:type="dxa" w:w="850"/>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Kod</w:t>
            </w:r>
          </w:p>
        </w:tc>
        <w:tc>
          <w:tcPr>
            <w:tcW w:type="dxa" w:w="5670"/>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İyileştirme Kararı</w:t>
            </w:r>
          </w:p>
        </w:tc>
        <w:tc>
          <w:tcPr>
            <w:tcW w:type="dxa" w:w="3231"/>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Temel Kanıt</w:t>
            </w:r>
          </w:p>
        </w:tc>
      </w:tr>
      <w:tr>
        <w:trPr>
          <w:cantSplit/>
        </w:trPr>
        <w:tc>
          <w:tcPr>
            <w:tcW w:type="dxa" w:w="85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K-1</w:t>
            </w:r>
          </w:p>
        </w:tc>
        <w:tc>
          <w:tcPr>
            <w:tcW w:type="dxa" w:w="567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danışmanlığı izleme ve geri bildirim sürecinin standartlaştırılması</w:t>
            </w:r>
          </w:p>
        </w:tc>
        <w:tc>
          <w:tcPr>
            <w:tcW w:type="dxa" w:w="3231"/>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Danışmanlığı İzleme ve Geri Bildirim Takvimi</w:t>
            </w:r>
          </w:p>
        </w:tc>
      </w:tr>
      <w:tr>
        <w:trPr>
          <w:cantSplit/>
        </w:trPr>
        <w:tc>
          <w:tcPr>
            <w:tcW w:type="dxa" w:w="85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K-2</w:t>
            </w:r>
          </w:p>
        </w:tc>
        <w:tc>
          <w:tcPr>
            <w:tcW w:type="dxa" w:w="567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önerisi, araştırma problemi ve yöntem seçimi için uygulamalı atölye düzenlenmesi</w:t>
            </w:r>
          </w:p>
        </w:tc>
        <w:tc>
          <w:tcPr>
            <w:tcW w:type="dxa" w:w="3231"/>
            <w:vAlign w:val="top"/>
          </w:tcPr>
          <w:p>
            <w:pPr>
              <w:spacing w:after="40" w:before="0"/>
            </w:pPr>
            <w:r>
              <w:rPr>
                <w:rFonts w:ascii="Times New Roman" w:hAnsi="Times New Roman" w:eastAsia="Times New Roman"/>
                <w:sz w:val="17"/>
              </w:rPr>
            </w:r>
            <w:r>
              <w:rPr>
                <w:rFonts w:ascii="Times New Roman" w:hAnsi="Times New Roman" w:eastAsia="Times New Roman"/>
                <w:b w:val="0"/>
                <w:sz w:val="17"/>
              </w:rPr>
              <w:t>Atölye duyurusu, katılım listesi, eğitim materyali ve değerlendirme formu</w:t>
            </w:r>
          </w:p>
        </w:tc>
      </w:tr>
      <w:tr>
        <w:trPr>
          <w:cantSplit/>
        </w:trPr>
        <w:tc>
          <w:tcPr>
            <w:tcW w:type="dxa" w:w="85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K-3</w:t>
            </w:r>
          </w:p>
        </w:tc>
        <w:tc>
          <w:tcPr>
            <w:tcW w:type="dxa" w:w="567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Akademik etik, kaynak kullanımı ve yapay zekânın etik kullanımına yönelik eğitimlerin düzenli hale getirilmesi</w:t>
            </w:r>
          </w:p>
        </w:tc>
        <w:tc>
          <w:tcPr>
            <w:tcW w:type="dxa" w:w="3231"/>
            <w:vAlign w:val="top"/>
          </w:tcPr>
          <w:p>
            <w:pPr>
              <w:spacing w:after="40" w:before="0"/>
            </w:pPr>
            <w:r>
              <w:rPr>
                <w:rFonts w:ascii="Times New Roman" w:hAnsi="Times New Roman" w:eastAsia="Times New Roman"/>
                <w:sz w:val="17"/>
              </w:rPr>
            </w:r>
            <w:r>
              <w:rPr>
                <w:rFonts w:ascii="Times New Roman" w:hAnsi="Times New Roman" w:eastAsia="Times New Roman"/>
                <w:b w:val="0"/>
                <w:sz w:val="17"/>
              </w:rPr>
              <w:t>Eğitim planı, katılım listesi ve eğitim sunumu</w:t>
            </w:r>
          </w:p>
        </w:tc>
      </w:tr>
      <w:tr>
        <w:trPr>
          <w:cantSplit/>
        </w:trPr>
        <w:tc>
          <w:tcPr>
            <w:tcW w:type="dxa" w:w="85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K-4</w:t>
            </w:r>
          </w:p>
        </w:tc>
        <w:tc>
          <w:tcPr>
            <w:tcW w:type="dxa" w:w="567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Yayın süreçleri ve güvenilir dergi seçimi konusunda destekleyici eğitim planlanması</w:t>
            </w:r>
          </w:p>
        </w:tc>
        <w:tc>
          <w:tcPr>
            <w:tcW w:type="dxa" w:w="3231"/>
            <w:vAlign w:val="top"/>
          </w:tcPr>
          <w:p>
            <w:pPr>
              <w:spacing w:after="40" w:before="0"/>
            </w:pPr>
            <w:r>
              <w:rPr>
                <w:rFonts w:ascii="Times New Roman" w:hAnsi="Times New Roman" w:eastAsia="Times New Roman"/>
                <w:sz w:val="17"/>
              </w:rPr>
            </w:r>
            <w:r>
              <w:rPr>
                <w:rFonts w:ascii="Times New Roman" w:hAnsi="Times New Roman" w:eastAsia="Times New Roman"/>
                <w:b w:val="0"/>
                <w:sz w:val="17"/>
              </w:rPr>
              <w:t>Eğitim programı ve yayın süreci rehberi</w:t>
            </w:r>
          </w:p>
        </w:tc>
      </w:tr>
      <w:tr>
        <w:trPr>
          <w:cantSplit/>
        </w:trPr>
        <w:tc>
          <w:tcPr>
            <w:tcW w:type="dxa" w:w="85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K-5</w:t>
            </w:r>
          </w:p>
        </w:tc>
        <w:tc>
          <w:tcPr>
            <w:tcW w:type="dxa" w:w="5670"/>
            <w:vAlign w:val="top"/>
          </w:tcPr>
          <w:p>
            <w:pPr>
              <w:spacing w:after="40" w:before="0"/>
            </w:pPr>
            <w:r>
              <w:rPr>
                <w:rFonts w:ascii="Times New Roman" w:hAnsi="Times New Roman" w:eastAsia="Times New Roman"/>
                <w:sz w:val="17"/>
              </w:rPr>
            </w:r>
            <w:r>
              <w:rPr>
                <w:rFonts w:ascii="Times New Roman" w:hAnsi="Times New Roman" w:eastAsia="Times New Roman"/>
                <w:b w:val="0"/>
                <w:sz w:val="17"/>
              </w:rPr>
              <w:t>Öğrenci merkezli danışmanlık ve mentorluk yaklaşımının güçlendirilmesi</w:t>
            </w:r>
          </w:p>
        </w:tc>
        <w:tc>
          <w:tcPr>
            <w:tcW w:type="dxa" w:w="3231"/>
            <w:vAlign w:val="top"/>
          </w:tcPr>
          <w:p>
            <w:pPr>
              <w:spacing w:after="40" w:before="0"/>
            </w:pPr>
            <w:r>
              <w:rPr>
                <w:rFonts w:ascii="Times New Roman" w:hAnsi="Times New Roman" w:eastAsia="Times New Roman"/>
                <w:sz w:val="17"/>
              </w:rPr>
            </w:r>
            <w:r>
              <w:rPr>
                <w:rFonts w:ascii="Times New Roman" w:hAnsi="Times New Roman" w:eastAsia="Times New Roman"/>
                <w:b w:val="0"/>
                <w:sz w:val="17"/>
              </w:rPr>
              <w:t>Mentorluk rehberi ve danışmanlık kontrol listesi</w:t>
            </w:r>
          </w:p>
        </w:tc>
      </w:tr>
    </w:tbl>
    <w:p>
      <w:r>
        <w:br w:type="page"/>
      </w:r>
    </w:p>
    <w:p>
      <w:pPr>
        <w:pStyle w:val="Heading2"/>
        <w:spacing w:before="100" w:after="60"/>
      </w:pPr>
      <w:r>
        <w:rPr>
          <w:rFonts w:ascii="Times New Roman" w:hAnsi="Times New Roman" w:eastAsia="Times New Roman"/>
          <w:b/>
          <w:color w:val="1F4E79"/>
        </w:rPr>
        <w:t>K-1. Tez danışmanlığı izleme ve geri bildirim sürecinin standartlaştırılması</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c>
          <w:tcPr>
            <w:tcW w:type="dxa" w:w="2381"/>
            <w:shd w:fill="D9EAF7"/>
            <w:vAlign w:val="top"/>
          </w:tcPr>
          <w:p>
            <w:pPr>
              <w:spacing w:after="0" w:before="0"/>
            </w:pPr>
            <w:r/>
            <w:r>
              <w:rPr>
                <w:rFonts w:ascii="Times New Roman" w:hAnsi="Times New Roman" w:eastAsia="Times New Roman"/>
                <w:b/>
                <w:sz w:val="17"/>
              </w:rPr>
              <w:t>Faaliyet Açıklaması</w:t>
            </w:r>
          </w:p>
        </w:tc>
        <w:tc>
          <w:tcPr>
            <w:tcW w:type="dxa" w:w="7371"/>
            <w:vAlign w:val="top"/>
          </w:tcPr>
          <w:p>
            <w:pPr>
              <w:spacing w:after="0" w:before="0"/>
            </w:pPr>
            <w:r/>
            <w:r>
              <w:rPr>
                <w:rFonts w:ascii="Times New Roman" w:hAnsi="Times New Roman" w:eastAsia="Times New Roman"/>
                <w:b w:val="0"/>
                <w:sz w:val="17"/>
              </w:rPr>
              <w:t>Danışman-öğrenci görüşmelerinin belirli aralıklarla yürütülmesi, görüşmelerin kayıt altına alınması ve geri bildirim sürelerinin izlenmesi amacıyla standart bir “Tez Danışmanlığı İzleme ve Geri Bildirim Takvimi” oluşturulacaktır.</w:t>
            </w:r>
          </w:p>
        </w:tc>
      </w:tr>
      <w:tr>
        <w:tc>
          <w:tcPr>
            <w:tcW w:type="dxa" w:w="2381"/>
            <w:shd w:fill="D9EAF7"/>
            <w:vAlign w:val="top"/>
          </w:tcPr>
          <w:p>
            <w:pPr>
              <w:spacing w:after="0" w:before="0"/>
            </w:pPr>
            <w:r/>
            <w:r>
              <w:rPr>
                <w:rFonts w:ascii="Times New Roman" w:hAnsi="Times New Roman" w:eastAsia="Times New Roman"/>
                <w:b/>
                <w:sz w:val="17"/>
              </w:rPr>
              <w:t>Sorumlu Birim/Kişiler</w:t>
            </w:r>
          </w:p>
        </w:tc>
        <w:tc>
          <w:tcPr>
            <w:tcW w:type="dxa" w:w="7371"/>
            <w:vAlign w:val="top"/>
          </w:tcPr>
          <w:p>
            <w:pPr>
              <w:spacing w:after="0" w:before="0"/>
            </w:pPr>
            <w:r/>
            <w:r>
              <w:rPr>
                <w:rFonts w:ascii="Times New Roman" w:hAnsi="Times New Roman" w:eastAsia="Times New Roman"/>
                <w:b w:val="0"/>
                <w:sz w:val="17"/>
              </w:rPr>
              <w:t>Dekanlık, Bölüm Başkanlıkları, Lisansüstü Danışmanlar</w:t>
            </w:r>
          </w:p>
        </w:tc>
      </w:tr>
      <w:tr>
        <w:tc>
          <w:tcPr>
            <w:tcW w:type="dxa" w:w="2381"/>
            <w:shd w:fill="D9EAF7"/>
            <w:vAlign w:val="top"/>
          </w:tcPr>
          <w:p>
            <w:pPr>
              <w:spacing w:after="0" w:before="0"/>
            </w:pPr>
            <w:r/>
            <w:r>
              <w:rPr>
                <w:rFonts w:ascii="Times New Roman" w:hAnsi="Times New Roman" w:eastAsia="Times New Roman"/>
                <w:b/>
                <w:sz w:val="17"/>
              </w:rPr>
              <w:t>Zamanlama</w:t>
            </w:r>
          </w:p>
        </w:tc>
        <w:tc>
          <w:tcPr>
            <w:tcW w:type="dxa" w:w="7371"/>
            <w:vAlign w:val="top"/>
          </w:tcPr>
          <w:p>
            <w:pPr>
              <w:spacing w:after="0" w:before="0"/>
            </w:pPr>
            <w:r/>
            <w:r>
              <w:rPr>
                <w:rFonts w:ascii="Times New Roman" w:hAnsi="Times New Roman" w:eastAsia="Times New Roman"/>
                <w:b w:val="0"/>
                <w:sz w:val="17"/>
              </w:rPr>
              <w:t>2026-2027 Güz dönemi başlangıcı</w:t>
            </w:r>
          </w:p>
        </w:tc>
      </w:tr>
      <w:tr>
        <w:tc>
          <w:tcPr>
            <w:tcW w:type="dxa" w:w="2381"/>
            <w:shd w:fill="D9EAF7"/>
            <w:vAlign w:val="top"/>
          </w:tcPr>
          <w:p>
            <w:pPr>
              <w:spacing w:after="0" w:before="0"/>
            </w:pPr>
            <w:r/>
            <w:r>
              <w:rPr>
                <w:rFonts w:ascii="Times New Roman" w:hAnsi="Times New Roman" w:eastAsia="Times New Roman"/>
                <w:b/>
                <w:sz w:val="17"/>
              </w:rPr>
              <w:t>Kanıtlar</w:t>
            </w:r>
          </w:p>
        </w:tc>
        <w:tc>
          <w:tcPr>
            <w:tcW w:type="dxa" w:w="7371"/>
            <w:vAlign w:val="top"/>
          </w:tcPr>
          <w:p>
            <w:pPr>
              <w:spacing w:after="0" w:before="0"/>
            </w:pPr>
            <w:r/>
            <w:r>
              <w:rPr>
                <w:rFonts w:ascii="Times New Roman" w:hAnsi="Times New Roman" w:eastAsia="Times New Roman"/>
                <w:b w:val="0"/>
                <w:sz w:val="17"/>
              </w:rPr>
              <w:t>Takvim dokümanı, danışman görüşme kayıt formu, dönem sonu izleme tablosu</w:t>
            </w:r>
          </w:p>
        </w:tc>
      </w:tr>
      <w:tr>
        <w:tc>
          <w:tcPr>
            <w:tcW w:type="dxa" w:w="2381"/>
            <w:shd w:fill="D9EAF7"/>
            <w:vAlign w:val="top"/>
          </w:tcPr>
          <w:p>
            <w:pPr>
              <w:spacing w:after="0" w:before="0"/>
            </w:pPr>
            <w:r/>
            <w:r>
              <w:rPr>
                <w:rFonts w:ascii="Times New Roman" w:hAnsi="Times New Roman" w:eastAsia="Times New Roman"/>
                <w:b/>
                <w:sz w:val="17"/>
              </w:rPr>
              <w:t>İzleme Göstergesi</w:t>
            </w:r>
          </w:p>
        </w:tc>
        <w:tc>
          <w:tcPr>
            <w:tcW w:type="dxa" w:w="7371"/>
            <w:vAlign w:val="top"/>
          </w:tcPr>
          <w:p>
            <w:pPr>
              <w:spacing w:after="0" w:before="0"/>
            </w:pPr>
            <w:r/>
            <w:r>
              <w:rPr>
                <w:rFonts w:ascii="Times New Roman" w:hAnsi="Times New Roman" w:eastAsia="Times New Roman"/>
                <w:b w:val="0"/>
                <w:sz w:val="17"/>
              </w:rPr>
              <w:t>Görüşme kayıt sayısı, zamanında verilen geri bildirim oranı</w:t>
            </w:r>
          </w:p>
        </w:tc>
      </w:tr>
    </w:tbl>
    <w:p/>
    <w:p>
      <w:pPr>
        <w:pStyle w:val="Heading2"/>
        <w:spacing w:before="100" w:after="60"/>
      </w:pPr>
      <w:r>
        <w:rPr>
          <w:rFonts w:ascii="Times New Roman" w:hAnsi="Times New Roman" w:eastAsia="Times New Roman"/>
          <w:b/>
          <w:color w:val="1F4E79"/>
        </w:rPr>
        <w:t>K-2. Tez önerisi, araştırma problemi ve yöntem seçimi için uygulamalı atölye düzenlenmesi</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c>
          <w:tcPr>
            <w:tcW w:type="dxa" w:w="2381"/>
            <w:shd w:fill="D9EAF7"/>
            <w:vAlign w:val="top"/>
          </w:tcPr>
          <w:p>
            <w:pPr>
              <w:spacing w:after="0" w:before="0"/>
            </w:pPr>
            <w:r/>
            <w:r>
              <w:rPr>
                <w:rFonts w:ascii="Times New Roman" w:hAnsi="Times New Roman" w:eastAsia="Times New Roman"/>
                <w:b/>
                <w:sz w:val="17"/>
              </w:rPr>
              <w:t>Faaliyet Açıklaması</w:t>
            </w:r>
          </w:p>
        </w:tc>
        <w:tc>
          <w:tcPr>
            <w:tcW w:type="dxa" w:w="7371"/>
            <w:vAlign w:val="top"/>
          </w:tcPr>
          <w:p>
            <w:pPr>
              <w:spacing w:after="0" w:before="0"/>
            </w:pPr>
            <w:r/>
            <w:r>
              <w:rPr>
                <w:rFonts w:ascii="Times New Roman" w:hAnsi="Times New Roman" w:eastAsia="Times New Roman"/>
                <w:b w:val="0"/>
                <w:sz w:val="17"/>
              </w:rPr>
              <w:t>Tez önerisi hazırlama, araştırma problemi oluşturma, yöntem seçimi ve araştırma planı hazırlama konularında örnek olay ve uygulama temelli atölye çalışması yapılacaktır.</w:t>
            </w:r>
          </w:p>
        </w:tc>
      </w:tr>
      <w:tr>
        <w:tc>
          <w:tcPr>
            <w:tcW w:type="dxa" w:w="2381"/>
            <w:shd w:fill="D9EAF7"/>
            <w:vAlign w:val="top"/>
          </w:tcPr>
          <w:p>
            <w:pPr>
              <w:spacing w:after="0" w:before="0"/>
            </w:pPr>
            <w:r/>
            <w:r>
              <w:rPr>
                <w:rFonts w:ascii="Times New Roman" w:hAnsi="Times New Roman" w:eastAsia="Times New Roman"/>
                <w:b/>
                <w:sz w:val="17"/>
              </w:rPr>
              <w:t>Sorumlu Birim/Kişiler</w:t>
            </w:r>
          </w:p>
        </w:tc>
        <w:tc>
          <w:tcPr>
            <w:tcW w:type="dxa" w:w="7371"/>
            <w:vAlign w:val="top"/>
          </w:tcPr>
          <w:p>
            <w:pPr>
              <w:spacing w:after="0" w:before="0"/>
            </w:pPr>
            <w:r/>
            <w:r>
              <w:rPr>
                <w:rFonts w:ascii="Times New Roman" w:hAnsi="Times New Roman" w:eastAsia="Times New Roman"/>
                <w:b w:val="0"/>
                <w:sz w:val="17"/>
              </w:rPr>
              <w:t>Dekanlık, Eğitim-Öğretim Komisyonu, ilgili öğretim elemanları</w:t>
            </w:r>
          </w:p>
        </w:tc>
      </w:tr>
      <w:tr>
        <w:tc>
          <w:tcPr>
            <w:tcW w:type="dxa" w:w="2381"/>
            <w:shd w:fill="D9EAF7"/>
            <w:vAlign w:val="top"/>
          </w:tcPr>
          <w:p>
            <w:pPr>
              <w:spacing w:after="0" w:before="0"/>
            </w:pPr>
            <w:r/>
            <w:r>
              <w:rPr>
                <w:rFonts w:ascii="Times New Roman" w:hAnsi="Times New Roman" w:eastAsia="Times New Roman"/>
                <w:b/>
                <w:sz w:val="17"/>
              </w:rPr>
              <w:t>Zamanlama</w:t>
            </w:r>
          </w:p>
        </w:tc>
        <w:tc>
          <w:tcPr>
            <w:tcW w:type="dxa" w:w="7371"/>
            <w:vAlign w:val="top"/>
          </w:tcPr>
          <w:p>
            <w:pPr>
              <w:spacing w:after="0" w:before="0"/>
            </w:pPr>
            <w:r/>
            <w:r>
              <w:rPr>
                <w:rFonts w:ascii="Times New Roman" w:hAnsi="Times New Roman" w:eastAsia="Times New Roman"/>
                <w:b w:val="0"/>
                <w:sz w:val="17"/>
              </w:rPr>
              <w:t>2026-2027 Güz dönemi</w:t>
            </w:r>
          </w:p>
        </w:tc>
      </w:tr>
      <w:tr>
        <w:tc>
          <w:tcPr>
            <w:tcW w:type="dxa" w:w="2381"/>
            <w:shd w:fill="D9EAF7"/>
            <w:vAlign w:val="top"/>
          </w:tcPr>
          <w:p>
            <w:pPr>
              <w:spacing w:after="0" w:before="0"/>
            </w:pPr>
            <w:r/>
            <w:r>
              <w:rPr>
                <w:rFonts w:ascii="Times New Roman" w:hAnsi="Times New Roman" w:eastAsia="Times New Roman"/>
                <w:b/>
                <w:sz w:val="17"/>
              </w:rPr>
              <w:t>Kanıtlar</w:t>
            </w:r>
          </w:p>
        </w:tc>
        <w:tc>
          <w:tcPr>
            <w:tcW w:type="dxa" w:w="7371"/>
            <w:vAlign w:val="top"/>
          </w:tcPr>
          <w:p>
            <w:pPr>
              <w:spacing w:after="0" w:before="0"/>
            </w:pPr>
            <w:r/>
            <w:r>
              <w:rPr>
                <w:rFonts w:ascii="Times New Roman" w:hAnsi="Times New Roman" w:eastAsia="Times New Roman"/>
                <w:b w:val="0"/>
                <w:sz w:val="17"/>
              </w:rPr>
              <w:t>Atölye duyurusu, katılım listesi, eğitim materyali, atölye sonrası değerlendirme formu</w:t>
            </w:r>
          </w:p>
        </w:tc>
      </w:tr>
      <w:tr>
        <w:tc>
          <w:tcPr>
            <w:tcW w:type="dxa" w:w="2381"/>
            <w:shd w:fill="D9EAF7"/>
            <w:vAlign w:val="top"/>
          </w:tcPr>
          <w:p>
            <w:pPr>
              <w:spacing w:after="0" w:before="0"/>
            </w:pPr>
            <w:r/>
            <w:r>
              <w:rPr>
                <w:rFonts w:ascii="Times New Roman" w:hAnsi="Times New Roman" w:eastAsia="Times New Roman"/>
                <w:b/>
                <w:sz w:val="17"/>
              </w:rPr>
              <w:t>İzleme Göstergesi</w:t>
            </w:r>
          </w:p>
        </w:tc>
        <w:tc>
          <w:tcPr>
            <w:tcW w:type="dxa" w:w="7371"/>
            <w:vAlign w:val="top"/>
          </w:tcPr>
          <w:p>
            <w:pPr>
              <w:spacing w:after="0" w:before="0"/>
            </w:pPr>
            <w:r/>
            <w:r>
              <w:rPr>
                <w:rFonts w:ascii="Times New Roman" w:hAnsi="Times New Roman" w:eastAsia="Times New Roman"/>
                <w:b w:val="0"/>
                <w:sz w:val="17"/>
              </w:rPr>
              <w:t>Katılımcı sayısı, atölye değerlendirme ortalaması, hazırlanan örnek tez önerisi sayısı</w:t>
            </w:r>
          </w:p>
        </w:tc>
      </w:tr>
    </w:tbl>
    <w:p/>
    <w:p>
      <w:pPr>
        <w:pStyle w:val="Heading2"/>
        <w:spacing w:before="100" w:after="60"/>
      </w:pPr>
      <w:r>
        <w:rPr>
          <w:rFonts w:ascii="Times New Roman" w:hAnsi="Times New Roman" w:eastAsia="Times New Roman"/>
          <w:b/>
          <w:color w:val="1F4E79"/>
        </w:rPr>
        <w:t>K-3. Akademik etik, kaynak kullanımı ve yapay zekânın etik kullanımına yönelik eğitimlerin düzenli hale getirilmesi</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c>
          <w:tcPr>
            <w:tcW w:type="dxa" w:w="2381"/>
            <w:shd w:fill="D9EAF7"/>
            <w:vAlign w:val="top"/>
          </w:tcPr>
          <w:p>
            <w:pPr>
              <w:spacing w:after="0" w:before="0"/>
            </w:pPr>
            <w:r/>
            <w:r>
              <w:rPr>
                <w:rFonts w:ascii="Times New Roman" w:hAnsi="Times New Roman" w:eastAsia="Times New Roman"/>
                <w:b/>
                <w:sz w:val="17"/>
              </w:rPr>
              <w:t>Faaliyet Açıklaması</w:t>
            </w:r>
          </w:p>
        </w:tc>
        <w:tc>
          <w:tcPr>
            <w:tcW w:type="dxa" w:w="7371"/>
            <w:vAlign w:val="top"/>
          </w:tcPr>
          <w:p>
            <w:pPr>
              <w:spacing w:after="0" w:before="0"/>
            </w:pPr>
            <w:r/>
            <w:r>
              <w:rPr>
                <w:rFonts w:ascii="Times New Roman" w:hAnsi="Times New Roman" w:eastAsia="Times New Roman"/>
                <w:b w:val="0"/>
                <w:sz w:val="17"/>
              </w:rPr>
              <w:t>Akademik etik, intihal, doğru atıf, kaynak kullanımı ve yapay zekânın akademik çalışmalarda kontrollü/etik kullanımı konularında dönemlik eğitim planı hazırlanacaktır.</w:t>
            </w:r>
          </w:p>
        </w:tc>
      </w:tr>
      <w:tr>
        <w:tc>
          <w:tcPr>
            <w:tcW w:type="dxa" w:w="2381"/>
            <w:shd w:fill="D9EAF7"/>
            <w:vAlign w:val="top"/>
          </w:tcPr>
          <w:p>
            <w:pPr>
              <w:spacing w:after="0" w:before="0"/>
            </w:pPr>
            <w:r/>
            <w:r>
              <w:rPr>
                <w:rFonts w:ascii="Times New Roman" w:hAnsi="Times New Roman" w:eastAsia="Times New Roman"/>
                <w:b/>
                <w:sz w:val="17"/>
              </w:rPr>
              <w:t>Sorumlu Birim/Kişiler</w:t>
            </w:r>
          </w:p>
        </w:tc>
        <w:tc>
          <w:tcPr>
            <w:tcW w:type="dxa" w:w="7371"/>
            <w:vAlign w:val="top"/>
          </w:tcPr>
          <w:p>
            <w:pPr>
              <w:spacing w:after="0" w:before="0"/>
            </w:pPr>
            <w:r/>
            <w:r>
              <w:rPr>
                <w:rFonts w:ascii="Times New Roman" w:hAnsi="Times New Roman" w:eastAsia="Times New Roman"/>
                <w:b w:val="0"/>
                <w:sz w:val="17"/>
              </w:rPr>
              <w:t>Dekanlık, Ölçme ve Değerlendirme Komisyonu, kalite temsilcileri</w:t>
            </w:r>
          </w:p>
        </w:tc>
      </w:tr>
      <w:tr>
        <w:tc>
          <w:tcPr>
            <w:tcW w:type="dxa" w:w="2381"/>
            <w:shd w:fill="D9EAF7"/>
            <w:vAlign w:val="top"/>
          </w:tcPr>
          <w:p>
            <w:pPr>
              <w:spacing w:after="0" w:before="0"/>
            </w:pPr>
            <w:r/>
            <w:r>
              <w:rPr>
                <w:rFonts w:ascii="Times New Roman" w:hAnsi="Times New Roman" w:eastAsia="Times New Roman"/>
                <w:b/>
                <w:sz w:val="17"/>
              </w:rPr>
              <w:t>Zamanlama</w:t>
            </w:r>
          </w:p>
        </w:tc>
        <w:tc>
          <w:tcPr>
            <w:tcW w:type="dxa" w:w="7371"/>
            <w:vAlign w:val="top"/>
          </w:tcPr>
          <w:p>
            <w:pPr>
              <w:spacing w:after="0" w:before="0"/>
            </w:pPr>
            <w:r/>
            <w:r>
              <w:rPr>
                <w:rFonts w:ascii="Times New Roman" w:hAnsi="Times New Roman" w:eastAsia="Times New Roman"/>
                <w:b w:val="0"/>
                <w:sz w:val="17"/>
              </w:rPr>
              <w:t>2026-2027 akademik yılı</w:t>
            </w:r>
          </w:p>
        </w:tc>
      </w:tr>
      <w:tr>
        <w:tc>
          <w:tcPr>
            <w:tcW w:type="dxa" w:w="2381"/>
            <w:shd w:fill="D9EAF7"/>
            <w:vAlign w:val="top"/>
          </w:tcPr>
          <w:p>
            <w:pPr>
              <w:spacing w:after="0" w:before="0"/>
            </w:pPr>
            <w:r/>
            <w:r>
              <w:rPr>
                <w:rFonts w:ascii="Times New Roman" w:hAnsi="Times New Roman" w:eastAsia="Times New Roman"/>
                <w:b/>
                <w:sz w:val="17"/>
              </w:rPr>
              <w:t>Kanıtlar</w:t>
            </w:r>
          </w:p>
        </w:tc>
        <w:tc>
          <w:tcPr>
            <w:tcW w:type="dxa" w:w="7371"/>
            <w:vAlign w:val="top"/>
          </w:tcPr>
          <w:p>
            <w:pPr>
              <w:spacing w:after="0" w:before="0"/>
            </w:pPr>
            <w:r/>
            <w:r>
              <w:rPr>
                <w:rFonts w:ascii="Times New Roman" w:hAnsi="Times New Roman" w:eastAsia="Times New Roman"/>
                <w:b w:val="0"/>
                <w:sz w:val="17"/>
              </w:rPr>
              <w:t>Eğitim planı, eğitim duyurusu, katılım listesi, eğitim sunumu</w:t>
            </w:r>
          </w:p>
        </w:tc>
      </w:tr>
      <w:tr>
        <w:tc>
          <w:tcPr>
            <w:tcW w:type="dxa" w:w="2381"/>
            <w:shd w:fill="D9EAF7"/>
            <w:vAlign w:val="top"/>
          </w:tcPr>
          <w:p>
            <w:pPr>
              <w:spacing w:after="0" w:before="0"/>
            </w:pPr>
            <w:r/>
            <w:r>
              <w:rPr>
                <w:rFonts w:ascii="Times New Roman" w:hAnsi="Times New Roman" w:eastAsia="Times New Roman"/>
                <w:b/>
                <w:sz w:val="17"/>
              </w:rPr>
              <w:t>İzleme Göstergesi</w:t>
            </w:r>
          </w:p>
        </w:tc>
        <w:tc>
          <w:tcPr>
            <w:tcW w:type="dxa" w:w="7371"/>
            <w:vAlign w:val="top"/>
          </w:tcPr>
          <w:p>
            <w:pPr>
              <w:spacing w:after="0" w:before="0"/>
            </w:pPr>
            <w:r/>
            <w:r>
              <w:rPr>
                <w:rFonts w:ascii="Times New Roman" w:hAnsi="Times New Roman" w:eastAsia="Times New Roman"/>
                <w:b w:val="0"/>
                <w:sz w:val="17"/>
              </w:rPr>
              <w:t>Eğitim sayısı, katılımcı memnuniyeti, etik kullanım farkındalık puanı</w:t>
            </w:r>
          </w:p>
        </w:tc>
      </w:tr>
    </w:tbl>
    <w:p/>
    <w:p>
      <w:pPr>
        <w:pStyle w:val="Heading2"/>
        <w:spacing w:before="100" w:after="60"/>
      </w:pPr>
      <w:r>
        <w:rPr>
          <w:rFonts w:ascii="Times New Roman" w:hAnsi="Times New Roman" w:eastAsia="Times New Roman"/>
          <w:b/>
          <w:color w:val="1F4E79"/>
        </w:rPr>
        <w:t>K-4. Yayın süreçleri ve güvenilir dergi seçimi konusunda destekleyici eğitim planlanması</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c>
          <w:tcPr>
            <w:tcW w:type="dxa" w:w="2381"/>
            <w:shd w:fill="D9EAF7"/>
            <w:vAlign w:val="top"/>
          </w:tcPr>
          <w:p>
            <w:pPr>
              <w:spacing w:after="0" w:before="0"/>
            </w:pPr>
            <w:r/>
            <w:r>
              <w:rPr>
                <w:rFonts w:ascii="Times New Roman" w:hAnsi="Times New Roman" w:eastAsia="Times New Roman"/>
                <w:b/>
                <w:sz w:val="17"/>
              </w:rPr>
              <w:t>Faaliyet Açıklaması</w:t>
            </w:r>
          </w:p>
        </w:tc>
        <w:tc>
          <w:tcPr>
            <w:tcW w:type="dxa" w:w="7371"/>
            <w:vAlign w:val="top"/>
          </w:tcPr>
          <w:p>
            <w:pPr>
              <w:spacing w:after="0" w:before="0"/>
            </w:pPr>
            <w:r/>
            <w:r>
              <w:rPr>
                <w:rFonts w:ascii="Times New Roman" w:hAnsi="Times New Roman" w:eastAsia="Times New Roman"/>
                <w:b w:val="0"/>
                <w:sz w:val="17"/>
              </w:rPr>
              <w:t>SSCI, AHCI, Q1-Q2 dergilerde makale hazırlama, yayın süreci, hakem değerlendirmesi ve güvenilir dergi seçimi konularında öğretim üyelerine yönelik eğitim düzenlenecektir.</w:t>
            </w:r>
          </w:p>
        </w:tc>
      </w:tr>
      <w:tr>
        <w:tc>
          <w:tcPr>
            <w:tcW w:type="dxa" w:w="2381"/>
            <w:shd w:fill="D9EAF7"/>
            <w:vAlign w:val="top"/>
          </w:tcPr>
          <w:p>
            <w:pPr>
              <w:spacing w:after="0" w:before="0"/>
            </w:pPr>
            <w:r/>
            <w:r>
              <w:rPr>
                <w:rFonts w:ascii="Times New Roman" w:hAnsi="Times New Roman" w:eastAsia="Times New Roman"/>
                <w:b/>
                <w:sz w:val="17"/>
              </w:rPr>
              <w:t>Sorumlu Birim/Kişiler</w:t>
            </w:r>
          </w:p>
        </w:tc>
        <w:tc>
          <w:tcPr>
            <w:tcW w:type="dxa" w:w="7371"/>
            <w:vAlign w:val="top"/>
          </w:tcPr>
          <w:p>
            <w:pPr>
              <w:spacing w:after="0" w:before="0"/>
            </w:pPr>
            <w:r/>
            <w:r>
              <w:rPr>
                <w:rFonts w:ascii="Times New Roman" w:hAnsi="Times New Roman" w:eastAsia="Times New Roman"/>
                <w:b w:val="0"/>
                <w:sz w:val="17"/>
              </w:rPr>
              <w:t>Dekanlık, Bölüm Başkanlıkları, Araştırma Komisyonu</w:t>
            </w:r>
          </w:p>
        </w:tc>
      </w:tr>
      <w:tr>
        <w:tc>
          <w:tcPr>
            <w:tcW w:type="dxa" w:w="2381"/>
            <w:shd w:fill="D9EAF7"/>
            <w:vAlign w:val="top"/>
          </w:tcPr>
          <w:p>
            <w:pPr>
              <w:spacing w:after="0" w:before="0"/>
            </w:pPr>
            <w:r/>
            <w:r>
              <w:rPr>
                <w:rFonts w:ascii="Times New Roman" w:hAnsi="Times New Roman" w:eastAsia="Times New Roman"/>
                <w:b/>
                <w:sz w:val="17"/>
              </w:rPr>
              <w:t>Zamanlama</w:t>
            </w:r>
          </w:p>
        </w:tc>
        <w:tc>
          <w:tcPr>
            <w:tcW w:type="dxa" w:w="7371"/>
            <w:vAlign w:val="top"/>
          </w:tcPr>
          <w:p>
            <w:pPr>
              <w:spacing w:after="0" w:before="0"/>
            </w:pPr>
            <w:r/>
            <w:r>
              <w:rPr>
                <w:rFonts w:ascii="Times New Roman" w:hAnsi="Times New Roman" w:eastAsia="Times New Roman"/>
                <w:b w:val="0"/>
                <w:sz w:val="17"/>
              </w:rPr>
              <w:t>2026-2027 akademik yılı içinde</w:t>
            </w:r>
          </w:p>
        </w:tc>
      </w:tr>
      <w:tr>
        <w:tc>
          <w:tcPr>
            <w:tcW w:type="dxa" w:w="2381"/>
            <w:shd w:fill="D9EAF7"/>
            <w:vAlign w:val="top"/>
          </w:tcPr>
          <w:p>
            <w:pPr>
              <w:spacing w:after="0" w:before="0"/>
            </w:pPr>
            <w:r/>
            <w:r>
              <w:rPr>
                <w:rFonts w:ascii="Times New Roman" w:hAnsi="Times New Roman" w:eastAsia="Times New Roman"/>
                <w:b/>
                <w:sz w:val="17"/>
              </w:rPr>
              <w:t>Kanıtlar</w:t>
            </w:r>
          </w:p>
        </w:tc>
        <w:tc>
          <w:tcPr>
            <w:tcW w:type="dxa" w:w="7371"/>
            <w:vAlign w:val="top"/>
          </w:tcPr>
          <w:p>
            <w:pPr>
              <w:spacing w:after="0" w:before="0"/>
            </w:pPr>
            <w:r/>
            <w:r>
              <w:rPr>
                <w:rFonts w:ascii="Times New Roman" w:hAnsi="Times New Roman" w:eastAsia="Times New Roman"/>
                <w:b w:val="0"/>
                <w:sz w:val="17"/>
              </w:rPr>
              <w:t>Eğitim programı, katılım listesi, yayın süreci rehberi</w:t>
            </w:r>
          </w:p>
        </w:tc>
      </w:tr>
      <w:tr>
        <w:tc>
          <w:tcPr>
            <w:tcW w:type="dxa" w:w="2381"/>
            <w:shd w:fill="D9EAF7"/>
            <w:vAlign w:val="top"/>
          </w:tcPr>
          <w:p>
            <w:pPr>
              <w:spacing w:after="0" w:before="0"/>
            </w:pPr>
            <w:r/>
            <w:r>
              <w:rPr>
                <w:rFonts w:ascii="Times New Roman" w:hAnsi="Times New Roman" w:eastAsia="Times New Roman"/>
                <w:b/>
                <w:sz w:val="17"/>
              </w:rPr>
              <w:t>İzleme Göstergesi</w:t>
            </w:r>
          </w:p>
        </w:tc>
        <w:tc>
          <w:tcPr>
            <w:tcW w:type="dxa" w:w="7371"/>
            <w:vAlign w:val="top"/>
          </w:tcPr>
          <w:p>
            <w:pPr>
              <w:spacing w:after="0" w:before="0"/>
            </w:pPr>
            <w:r/>
            <w:r>
              <w:rPr>
                <w:rFonts w:ascii="Times New Roman" w:hAnsi="Times New Roman" w:eastAsia="Times New Roman"/>
                <w:b w:val="0"/>
                <w:sz w:val="17"/>
              </w:rPr>
              <w:t>Katılımcı sayısı, eğitim değerlendirme ortalaması, yayın başvuru süreçlerine ilişkin geri bildirimler</w:t>
            </w:r>
          </w:p>
        </w:tc>
      </w:tr>
    </w:tbl>
    <w:p/>
    <w:p>
      <w:pPr>
        <w:pStyle w:val="Heading2"/>
        <w:spacing w:before="100" w:after="60"/>
      </w:pPr>
      <w:r>
        <w:rPr>
          <w:rFonts w:ascii="Times New Roman" w:hAnsi="Times New Roman" w:eastAsia="Times New Roman"/>
          <w:b/>
          <w:color w:val="1F4E79"/>
        </w:rPr>
        <w:t>K-5. Öğrenci merkezli danışmanlık ve mentorluk yaklaşımının güçlendirilmesi</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c>
          <w:tcPr>
            <w:tcW w:type="dxa" w:w="2381"/>
            <w:shd w:fill="D9EAF7"/>
            <w:vAlign w:val="top"/>
          </w:tcPr>
          <w:p>
            <w:pPr>
              <w:spacing w:after="0" w:before="0"/>
            </w:pPr>
            <w:r/>
            <w:r>
              <w:rPr>
                <w:rFonts w:ascii="Times New Roman" w:hAnsi="Times New Roman" w:eastAsia="Times New Roman"/>
                <w:b/>
                <w:sz w:val="17"/>
              </w:rPr>
              <w:t>Faaliyet Açıklaması</w:t>
            </w:r>
          </w:p>
        </w:tc>
        <w:tc>
          <w:tcPr>
            <w:tcW w:type="dxa" w:w="7371"/>
            <w:vAlign w:val="top"/>
          </w:tcPr>
          <w:p>
            <w:pPr>
              <w:spacing w:after="0" w:before="0"/>
            </w:pPr>
            <w:r/>
            <w:r>
              <w:rPr>
                <w:rFonts w:ascii="Times New Roman" w:hAnsi="Times New Roman" w:eastAsia="Times New Roman"/>
                <w:b w:val="0"/>
                <w:sz w:val="17"/>
              </w:rPr>
              <w:t>Danışmanlık sürecinde öğrenci merkezli iletişim, düzenli izleme, zamanında geri bildirim ve mentorluk becerilerini destekleyen kısa eğitim/rehberlik içeriği hazırlanacaktır.</w:t>
            </w:r>
          </w:p>
        </w:tc>
      </w:tr>
      <w:tr>
        <w:tc>
          <w:tcPr>
            <w:tcW w:type="dxa" w:w="2381"/>
            <w:shd w:fill="D9EAF7"/>
            <w:vAlign w:val="top"/>
          </w:tcPr>
          <w:p>
            <w:pPr>
              <w:spacing w:after="0" w:before="0"/>
            </w:pPr>
            <w:r/>
            <w:r>
              <w:rPr>
                <w:rFonts w:ascii="Times New Roman" w:hAnsi="Times New Roman" w:eastAsia="Times New Roman"/>
                <w:b/>
                <w:sz w:val="17"/>
              </w:rPr>
              <w:t>Sorumlu Birim/Kişiler</w:t>
            </w:r>
          </w:p>
        </w:tc>
        <w:tc>
          <w:tcPr>
            <w:tcW w:type="dxa" w:w="7371"/>
            <w:vAlign w:val="top"/>
          </w:tcPr>
          <w:p>
            <w:pPr>
              <w:spacing w:after="0" w:before="0"/>
            </w:pPr>
            <w:r/>
            <w:r>
              <w:rPr>
                <w:rFonts w:ascii="Times New Roman" w:hAnsi="Times New Roman" w:eastAsia="Times New Roman"/>
                <w:b w:val="0"/>
                <w:sz w:val="17"/>
              </w:rPr>
              <w:t>Dekanlık, Bölüm Başkanlıkları, danışman öğretim elemanları</w:t>
            </w:r>
          </w:p>
        </w:tc>
      </w:tr>
      <w:tr>
        <w:tc>
          <w:tcPr>
            <w:tcW w:type="dxa" w:w="2381"/>
            <w:shd w:fill="D9EAF7"/>
            <w:vAlign w:val="top"/>
          </w:tcPr>
          <w:p>
            <w:pPr>
              <w:spacing w:after="0" w:before="0"/>
            </w:pPr>
            <w:r/>
            <w:r>
              <w:rPr>
                <w:rFonts w:ascii="Times New Roman" w:hAnsi="Times New Roman" w:eastAsia="Times New Roman"/>
                <w:b/>
                <w:sz w:val="17"/>
              </w:rPr>
              <w:t>Zamanlama</w:t>
            </w:r>
          </w:p>
        </w:tc>
        <w:tc>
          <w:tcPr>
            <w:tcW w:type="dxa" w:w="7371"/>
            <w:vAlign w:val="top"/>
          </w:tcPr>
          <w:p>
            <w:pPr>
              <w:spacing w:after="0" w:before="0"/>
            </w:pPr>
            <w:r/>
            <w:r>
              <w:rPr>
                <w:rFonts w:ascii="Times New Roman" w:hAnsi="Times New Roman" w:eastAsia="Times New Roman"/>
                <w:b w:val="0"/>
                <w:sz w:val="17"/>
              </w:rPr>
              <w:t>2026-2027 Güz dönemi</w:t>
            </w:r>
          </w:p>
        </w:tc>
      </w:tr>
      <w:tr>
        <w:tc>
          <w:tcPr>
            <w:tcW w:type="dxa" w:w="2381"/>
            <w:shd w:fill="D9EAF7"/>
            <w:vAlign w:val="top"/>
          </w:tcPr>
          <w:p>
            <w:pPr>
              <w:spacing w:after="0" w:before="0"/>
            </w:pPr>
            <w:r/>
            <w:r>
              <w:rPr>
                <w:rFonts w:ascii="Times New Roman" w:hAnsi="Times New Roman" w:eastAsia="Times New Roman"/>
                <w:b/>
                <w:sz w:val="17"/>
              </w:rPr>
              <w:t>Kanıtlar</w:t>
            </w:r>
          </w:p>
        </w:tc>
        <w:tc>
          <w:tcPr>
            <w:tcW w:type="dxa" w:w="7371"/>
            <w:vAlign w:val="top"/>
          </w:tcPr>
          <w:p>
            <w:pPr>
              <w:spacing w:after="0" w:before="0"/>
            </w:pPr>
            <w:r/>
            <w:r>
              <w:rPr>
                <w:rFonts w:ascii="Times New Roman" w:hAnsi="Times New Roman" w:eastAsia="Times New Roman"/>
                <w:b w:val="0"/>
                <w:sz w:val="17"/>
              </w:rPr>
              <w:t>Mentorluk rehberi, bilgilendirme toplantısı tutanağı, danışmanlık süreci kontrol listesi</w:t>
            </w:r>
          </w:p>
        </w:tc>
      </w:tr>
      <w:tr>
        <w:tc>
          <w:tcPr>
            <w:tcW w:type="dxa" w:w="2381"/>
            <w:shd w:fill="D9EAF7"/>
            <w:vAlign w:val="top"/>
          </w:tcPr>
          <w:p>
            <w:pPr>
              <w:spacing w:after="0" w:before="0"/>
            </w:pPr>
            <w:r/>
            <w:r>
              <w:rPr>
                <w:rFonts w:ascii="Times New Roman" w:hAnsi="Times New Roman" w:eastAsia="Times New Roman"/>
                <w:b/>
                <w:sz w:val="17"/>
              </w:rPr>
              <w:t>İzleme Göstergesi</w:t>
            </w:r>
          </w:p>
        </w:tc>
        <w:tc>
          <w:tcPr>
            <w:tcW w:type="dxa" w:w="7371"/>
            <w:vAlign w:val="top"/>
          </w:tcPr>
          <w:p>
            <w:pPr>
              <w:spacing w:after="0" w:before="0"/>
            </w:pPr>
            <w:r/>
            <w:r>
              <w:rPr>
                <w:rFonts w:ascii="Times New Roman" w:hAnsi="Times New Roman" w:eastAsia="Times New Roman"/>
                <w:b w:val="0"/>
                <w:sz w:val="17"/>
              </w:rPr>
              <w:t>Danışmanlık memnuniyeti, görüşme sürekliliği, öğrenci geri bildirimleri</w:t>
            </w:r>
          </w:p>
        </w:tc>
      </w:tr>
    </w:tbl>
    <w:p/>
    <w:p>
      <w:pPr>
        <w:pStyle w:val="Heading1"/>
        <w:spacing w:before="160" w:after="60"/>
      </w:pPr>
      <w:r>
        <w:rPr>
          <w:rFonts w:ascii="Times New Roman" w:hAnsi="Times New Roman" w:eastAsia="Times New Roman"/>
          <w:b/>
          <w:color w:val="1F4E79"/>
        </w:rPr>
        <w:t>7. Öncelikli İyileştirme Kanıtları</w:t>
      </w:r>
    </w:p>
    <w:p>
      <w:pPr>
        <w:pStyle w:val="BodyText"/>
        <w:spacing w:line="252" w:lineRule="auto" w:after="100"/>
        <w:jc w:val="both"/>
      </w:pPr>
      <w:r>
        <w:rPr>
          <w:rFonts w:ascii="Times New Roman" w:hAnsi="Times New Roman" w:eastAsia="Times New Roman"/>
          <w:sz w:val="22"/>
        </w:rPr>
        <w:t>Eğitim değerlendirme sonuçlarının kalite güvencesi döngüsüne yansıtıldığını göstermek amacıyla aşağıdaki iki iyileştirme kararı öncelikli uygulama kanıtlarıyla desteklenecektir. Bu kanıtlar, yapılan değerlendirmelerin yalnızca raporlanmadığını; sonuçların somut uygulamalara dönüştürüldüğünü gösterecek şekilde dosyalanacaktır.</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2466"/>
        <w:gridCol w:w="2466"/>
        <w:gridCol w:w="2466"/>
        <w:gridCol w:w="2466"/>
      </w:tblGrid>
      <w:tr>
        <w:trPr>
          <w:tblHeader w:val="true"/>
          <w:cantSplit/>
        </w:trPr>
        <w:tc>
          <w:tcPr>
            <w:tcW w:type="dxa" w:w="567"/>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No</w:t>
            </w:r>
          </w:p>
        </w:tc>
        <w:tc>
          <w:tcPr>
            <w:tcW w:type="dxa" w:w="3005"/>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Öncelikli İyileştirme</w:t>
            </w:r>
          </w:p>
        </w:tc>
        <w:tc>
          <w:tcPr>
            <w:tcW w:type="dxa" w:w="3175"/>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Kanıtlar</w:t>
            </w:r>
          </w:p>
        </w:tc>
        <w:tc>
          <w:tcPr>
            <w:tcW w:type="dxa" w:w="3005"/>
            <w:shd w:fill="1F4E79"/>
            <w:vAlign w:val="top"/>
          </w:tcPr>
          <w:p>
            <w:pPr>
              <w:spacing w:after="40" w:before="0"/>
            </w:pPr>
            <w:r>
              <w:rPr>
                <w:rFonts w:ascii="Times New Roman" w:hAnsi="Times New Roman" w:eastAsia="Times New Roman"/>
                <w:sz w:val="17"/>
              </w:rPr>
            </w:r>
            <w:r>
              <w:rPr>
                <w:rFonts w:ascii="Times New Roman" w:hAnsi="Times New Roman" w:eastAsia="Times New Roman"/>
                <w:b/>
                <w:color w:val="FFFFFF"/>
                <w:sz w:val="17"/>
              </w:rPr>
              <w:t>Kanıtın Sürece Katkısı</w:t>
            </w:r>
          </w:p>
        </w:tc>
      </w:tr>
      <w:tr>
        <w:trPr>
          <w:cantSplit/>
        </w:trPr>
        <w:tc>
          <w:tcPr>
            <w:tcW w:type="dxa" w:w="567"/>
            <w:vAlign w:val="top"/>
          </w:tcPr>
          <w:p>
            <w:pPr>
              <w:spacing w:after="40" w:before="0"/>
            </w:pPr>
            <w:r>
              <w:rPr>
                <w:rFonts w:ascii="Times New Roman" w:hAnsi="Times New Roman" w:eastAsia="Times New Roman"/>
                <w:sz w:val="17"/>
              </w:rPr>
            </w:r>
            <w:r>
              <w:rPr>
                <w:rFonts w:ascii="Times New Roman" w:hAnsi="Times New Roman" w:eastAsia="Times New Roman"/>
                <w:b w:val="0"/>
                <w:sz w:val="17"/>
              </w:rPr>
              <w:t>1</w:t>
            </w:r>
          </w:p>
        </w:tc>
        <w:tc>
          <w:tcPr>
            <w:tcW w:type="dxa" w:w="300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K-1 Tez danışmanlığı izleme ve geri bildirim sürecinin standartlaştırılması</w:t>
            </w:r>
          </w:p>
        </w:tc>
        <w:tc>
          <w:tcPr>
            <w:tcW w:type="dxa" w:w="317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Danışmanlığı İzleme ve Geri Bildirim Takvimi; Danışman Görüşme Kayıt Formu; dönem sonu izleme tablosu</w:t>
            </w:r>
          </w:p>
        </w:tc>
        <w:tc>
          <w:tcPr>
            <w:tcW w:type="dxa" w:w="300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Danışmanlık görüşmelerinin belirli aralıklarla yürütüldüğünü ve geri bildirim süreçlerinin kayıt altına alındığını gösterir.</w:t>
            </w:r>
          </w:p>
        </w:tc>
      </w:tr>
      <w:tr>
        <w:trPr>
          <w:cantSplit/>
        </w:trPr>
        <w:tc>
          <w:tcPr>
            <w:tcW w:type="dxa" w:w="567"/>
            <w:vAlign w:val="top"/>
          </w:tcPr>
          <w:p>
            <w:pPr>
              <w:spacing w:after="40" w:before="0"/>
            </w:pPr>
            <w:r>
              <w:rPr>
                <w:rFonts w:ascii="Times New Roman" w:hAnsi="Times New Roman" w:eastAsia="Times New Roman"/>
                <w:sz w:val="17"/>
              </w:rPr>
            </w:r>
            <w:r>
              <w:rPr>
                <w:rFonts w:ascii="Times New Roman" w:hAnsi="Times New Roman" w:eastAsia="Times New Roman"/>
                <w:b w:val="0"/>
                <w:sz w:val="17"/>
              </w:rPr>
              <w:t>2</w:t>
            </w:r>
          </w:p>
        </w:tc>
        <w:tc>
          <w:tcPr>
            <w:tcW w:type="dxa" w:w="300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K-2 Tez önerisi, araştırma problemi ve yöntem seçimi için uygulamalı atölye düzenlenmesi</w:t>
            </w:r>
          </w:p>
        </w:tc>
        <w:tc>
          <w:tcPr>
            <w:tcW w:type="dxa" w:w="317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Atölye duyurusu; katılım listesi; eğitim materyali; atölye sonrası değerlendirme formu</w:t>
            </w:r>
          </w:p>
        </w:tc>
        <w:tc>
          <w:tcPr>
            <w:tcW w:type="dxa" w:w="3005"/>
            <w:vAlign w:val="top"/>
          </w:tcPr>
          <w:p>
            <w:pPr>
              <w:spacing w:after="40" w:before="0"/>
            </w:pPr>
            <w:r>
              <w:rPr>
                <w:rFonts w:ascii="Times New Roman" w:hAnsi="Times New Roman" w:eastAsia="Times New Roman"/>
                <w:sz w:val="17"/>
              </w:rPr>
            </w:r>
            <w:r>
              <w:rPr>
                <w:rFonts w:ascii="Times New Roman" w:hAnsi="Times New Roman" w:eastAsia="Times New Roman"/>
                <w:b w:val="0"/>
                <w:sz w:val="17"/>
              </w:rPr>
              <w:t>Tez önerisi ve araştırma planlama alanındaki geliştirme ihtiyacının uygulamalı eğitim faaliyetine dönüştürüldüğünü gösterir.</w:t>
            </w:r>
          </w:p>
        </w:tc>
      </w:tr>
    </w:tbl>
    <w:p/>
    <w:p>
      <w:pPr>
        <w:pStyle w:val="Heading1"/>
        <w:spacing w:before="160" w:after="60"/>
      </w:pPr>
      <w:r>
        <w:rPr>
          <w:rFonts w:ascii="Times New Roman" w:hAnsi="Times New Roman" w:eastAsia="Times New Roman"/>
          <w:b/>
          <w:color w:val="1F4E79"/>
        </w:rPr>
        <w:t>8. PUKÖ Döngüsü Kapsamında İzleme</w:t>
      </w:r>
    </w:p>
    <w:tbl>
      <w:tblPr>
        <w:tblW w:type="auto" w:w="0"/>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933"/>
        <w:gridCol w:w="4933"/>
      </w:tblGrid>
      <w:tr>
        <w:trPr>
          <w:tblHeader w:val="true"/>
          <w:cantSplit/>
        </w:trPr>
        <w:tc>
          <w:tcPr>
            <w:tcW w:type="dxa" w:w="1701"/>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PUKÖ Aşaması</w:t>
            </w:r>
          </w:p>
        </w:tc>
        <w:tc>
          <w:tcPr>
            <w:tcW w:type="dxa" w:w="8051"/>
            <w:shd w:fill="1F4E79"/>
            <w:vAlign w:val="top"/>
          </w:tcPr>
          <w:p>
            <w:pPr>
              <w:spacing w:after="40" w:before="0"/>
            </w:pPr>
            <w:r>
              <w:rPr>
                <w:rFonts w:ascii="Times New Roman" w:hAnsi="Times New Roman" w:eastAsia="Times New Roman"/>
                <w:sz w:val="18"/>
              </w:rPr>
            </w:r>
            <w:r>
              <w:rPr>
                <w:rFonts w:ascii="Times New Roman" w:hAnsi="Times New Roman" w:eastAsia="Times New Roman"/>
                <w:b/>
                <w:color w:val="FFFFFF"/>
                <w:sz w:val="18"/>
              </w:rPr>
              <w:t>Uygulama ve İzleme Açıklaması</w:t>
            </w:r>
          </w:p>
        </w:tc>
      </w:tr>
      <w:tr>
        <w:trPr>
          <w:cantSplit/>
        </w:trPr>
        <w:tc>
          <w:tcPr>
            <w:tcW w:type="dxa" w:w="170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Planla</w:t>
            </w:r>
          </w:p>
        </w:tc>
        <w:tc>
          <w:tcPr>
            <w:tcW w:type="dxa" w:w="80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Anket sonuçları ve açık uçlu geri bildirimler incelenerek geliştirmeye açık alanlar belirlenmiştir.</w:t>
            </w:r>
          </w:p>
        </w:tc>
      </w:tr>
      <w:tr>
        <w:trPr>
          <w:cantSplit/>
        </w:trPr>
        <w:tc>
          <w:tcPr>
            <w:tcW w:type="dxa" w:w="170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Uygula</w:t>
            </w:r>
          </w:p>
        </w:tc>
        <w:tc>
          <w:tcPr>
            <w:tcW w:type="dxa" w:w="80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Danışmanlık izleme takvimi, uygulamalı atölye, etik/yapay zekâ eğitimi ve yayın süreçleri eğitimi planlanarak hayata geçirilecektir.</w:t>
            </w:r>
          </w:p>
        </w:tc>
      </w:tr>
      <w:tr>
        <w:trPr>
          <w:cantSplit/>
        </w:trPr>
        <w:tc>
          <w:tcPr>
            <w:tcW w:type="dxa" w:w="170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Kontrol Et</w:t>
            </w:r>
          </w:p>
        </w:tc>
        <w:tc>
          <w:tcPr>
            <w:tcW w:type="dxa" w:w="80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Katılım listeleri, değerlendirme formları, görüşme kayıtları ve dönem sonu izleme tabloları üzerinden uygulama sonuçları takip edilecektir.</w:t>
            </w:r>
          </w:p>
        </w:tc>
      </w:tr>
      <w:tr>
        <w:trPr>
          <w:cantSplit/>
        </w:trPr>
        <w:tc>
          <w:tcPr>
            <w:tcW w:type="dxa" w:w="170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Önlem Al</w:t>
            </w:r>
          </w:p>
        </w:tc>
        <w:tc>
          <w:tcPr>
            <w:tcW w:type="dxa" w:w="8051"/>
            <w:vAlign w:val="top"/>
          </w:tcPr>
          <w:p>
            <w:pPr>
              <w:spacing w:after="40" w:before="0"/>
            </w:pPr>
            <w:r>
              <w:rPr>
                <w:rFonts w:ascii="Times New Roman" w:hAnsi="Times New Roman" w:eastAsia="Times New Roman"/>
                <w:sz w:val="18"/>
              </w:rPr>
            </w:r>
            <w:r>
              <w:rPr>
                <w:rFonts w:ascii="Times New Roman" w:hAnsi="Times New Roman" w:eastAsia="Times New Roman"/>
                <w:b w:val="0"/>
                <w:sz w:val="18"/>
              </w:rPr>
              <w:t>İzleme sonuçlarına göre eğitim içerikleri, danışmanlık süreçleri ve geri bildirim mekanizmaları güncellenecektir.</w:t>
            </w:r>
          </w:p>
        </w:tc>
      </w:tr>
    </w:tbl>
    <w:p/>
    <w:p>
      <w:pPr>
        <w:pStyle w:val="Heading1"/>
        <w:spacing w:before="160" w:after="60"/>
      </w:pPr>
      <w:r>
        <w:rPr>
          <w:rFonts w:ascii="Times New Roman" w:hAnsi="Times New Roman" w:eastAsia="Times New Roman"/>
          <w:b/>
          <w:color w:val="1F4E79"/>
        </w:rPr>
        <w:t>9. Beklenen Çıktılar</w:t>
      </w:r>
    </w:p>
    <w:p>
      <w:pPr>
        <w:pStyle w:val="ListBullet"/>
        <w:spacing w:after="40"/>
        <w:ind w:left="340"/>
      </w:pPr>
      <w:r>
        <w:rPr>
          <w:rFonts w:ascii="Times New Roman" w:hAnsi="Times New Roman" w:eastAsia="Times New Roman"/>
          <w:sz w:val="21"/>
        </w:rPr>
        <w:t>Tez danışmanlığı sürecinde izleme ve geri bildirim uygulamalarının standart hale getirilmesi.</w:t>
      </w:r>
    </w:p>
    <w:p>
      <w:pPr>
        <w:pStyle w:val="ListBullet"/>
        <w:spacing w:after="40"/>
        <w:ind w:left="340"/>
      </w:pPr>
      <w:r>
        <w:rPr>
          <w:rFonts w:ascii="Times New Roman" w:hAnsi="Times New Roman" w:eastAsia="Times New Roman"/>
          <w:sz w:val="21"/>
        </w:rPr>
        <w:t>Tez önerisi hazırlama, araştırma problemi oluşturma ve yöntem seçimi konularında uygulamalı desteğin artırılması.</w:t>
      </w:r>
    </w:p>
    <w:p>
      <w:pPr>
        <w:pStyle w:val="ListBullet"/>
        <w:spacing w:after="40"/>
        <w:ind w:left="340"/>
      </w:pPr>
      <w:r>
        <w:rPr>
          <w:rFonts w:ascii="Times New Roman" w:hAnsi="Times New Roman" w:eastAsia="Times New Roman"/>
          <w:sz w:val="21"/>
        </w:rPr>
        <w:t>Akademik etik, doğru atıf, kaynak kullanımı ve yapay zekânın etik kullanımı konularında farkındalığın güçlendirilmesi.</w:t>
      </w:r>
    </w:p>
    <w:p>
      <w:pPr>
        <w:pStyle w:val="ListBullet"/>
        <w:spacing w:after="40"/>
        <w:ind w:left="340"/>
      </w:pPr>
      <w:r>
        <w:rPr>
          <w:rFonts w:ascii="Times New Roman" w:hAnsi="Times New Roman" w:eastAsia="Times New Roman"/>
          <w:sz w:val="21"/>
        </w:rPr>
        <w:t>Yayın süreçleri, güvenilir dergi seçimi ve akademik yayın hazırlama konularında öğretim elemanlarına destek sağlanması.</w:t>
      </w:r>
    </w:p>
    <w:p>
      <w:pPr>
        <w:pStyle w:val="ListBullet"/>
        <w:spacing w:after="40"/>
        <w:ind w:left="340"/>
      </w:pPr>
      <w:r>
        <w:rPr>
          <w:rFonts w:ascii="Times New Roman" w:hAnsi="Times New Roman" w:eastAsia="Times New Roman"/>
          <w:sz w:val="21"/>
        </w:rPr>
        <w:t>Danışman-öğrenci iletişiminde düzenlilik, süreklilik ve zamanında geri bildirim kültürünün güçlendirilmesi.</w:t>
      </w:r>
    </w:p>
    <w:p>
      <w:pPr>
        <w:pStyle w:val="Heading1"/>
        <w:spacing w:before="160" w:after="60"/>
      </w:pPr>
      <w:r>
        <w:rPr>
          <w:rFonts w:ascii="Times New Roman" w:hAnsi="Times New Roman" w:eastAsia="Times New Roman"/>
          <w:b/>
          <w:color w:val="1F4E79"/>
        </w:rPr>
        <w:t>10. Kanıt Listesi</w:t>
      </w:r>
    </w:p>
    <w:p>
      <w:pPr>
        <w:pStyle w:val="ListBullet"/>
        <w:spacing w:after="40"/>
        <w:ind w:left="340"/>
      </w:pPr>
      <w:r>
        <w:rPr>
          <w:rFonts w:ascii="Times New Roman" w:hAnsi="Times New Roman" w:eastAsia="Times New Roman"/>
          <w:sz w:val="21"/>
        </w:rPr>
        <w:t>Lisansüstü Tez Süreçlerinde Kalite Güvencesi ve Bilimsel Araştırmada Güncel Yaklaşımlar Eğitimi Değerlendirme Anketi Sonuç Raporu</w:t>
      </w:r>
    </w:p>
    <w:p>
      <w:pPr>
        <w:pStyle w:val="ListBullet"/>
        <w:spacing w:after="40"/>
        <w:ind w:left="340"/>
      </w:pPr>
      <w:r>
        <w:rPr>
          <w:rFonts w:ascii="Times New Roman" w:hAnsi="Times New Roman" w:eastAsia="Times New Roman"/>
          <w:sz w:val="21"/>
        </w:rPr>
        <w:t>Eğitim Değerlendirme Anketi Yanıtları</w:t>
      </w:r>
    </w:p>
    <w:p>
      <w:pPr>
        <w:pStyle w:val="ListBullet"/>
        <w:spacing w:after="40"/>
        <w:ind w:left="340"/>
      </w:pPr>
      <w:r>
        <w:rPr>
          <w:rFonts w:ascii="Times New Roman" w:hAnsi="Times New Roman" w:eastAsia="Times New Roman"/>
          <w:sz w:val="21"/>
        </w:rPr>
        <w:t>Tez Danışmanlığı İzleme ve Geri Bildirim Takvimi</w:t>
      </w:r>
    </w:p>
    <w:p>
      <w:pPr>
        <w:pStyle w:val="ListBullet"/>
        <w:spacing w:after="40"/>
        <w:ind w:left="340"/>
      </w:pPr>
      <w:r>
        <w:rPr>
          <w:rFonts w:ascii="Times New Roman" w:hAnsi="Times New Roman" w:eastAsia="Times New Roman"/>
          <w:sz w:val="21"/>
        </w:rPr>
        <w:t>Danışman Görüşme Kayıt Formu</w:t>
      </w:r>
    </w:p>
    <w:p>
      <w:pPr>
        <w:pStyle w:val="ListBullet"/>
        <w:spacing w:after="40"/>
        <w:ind w:left="340"/>
      </w:pPr>
      <w:r>
        <w:rPr>
          <w:rFonts w:ascii="Times New Roman" w:hAnsi="Times New Roman" w:eastAsia="Times New Roman"/>
          <w:sz w:val="21"/>
        </w:rPr>
        <w:t>Dönem Sonu Danışmanlık İzleme Tablosu</w:t>
      </w:r>
    </w:p>
    <w:p>
      <w:pPr>
        <w:pStyle w:val="ListBullet"/>
        <w:spacing w:after="40"/>
        <w:ind w:left="340"/>
      </w:pPr>
      <w:r>
        <w:rPr>
          <w:rFonts w:ascii="Times New Roman" w:hAnsi="Times New Roman" w:eastAsia="Times New Roman"/>
          <w:sz w:val="21"/>
        </w:rPr>
        <w:t>Uygulamalı Tez Önerisi ve Araştırma Planlama Atölyesi Duyurusu</w:t>
      </w:r>
    </w:p>
    <w:p>
      <w:pPr>
        <w:pStyle w:val="ListBullet"/>
        <w:spacing w:after="40"/>
        <w:ind w:left="340"/>
      </w:pPr>
      <w:r>
        <w:rPr>
          <w:rFonts w:ascii="Times New Roman" w:hAnsi="Times New Roman" w:eastAsia="Times New Roman"/>
          <w:sz w:val="21"/>
        </w:rPr>
        <w:t>Atölye Katılım Listesi ve Eğitim Materyali</w:t>
      </w:r>
    </w:p>
    <w:p>
      <w:pPr>
        <w:pStyle w:val="ListBullet"/>
        <w:spacing w:after="40"/>
        <w:ind w:left="340"/>
      </w:pPr>
      <w:r>
        <w:rPr>
          <w:rFonts w:ascii="Times New Roman" w:hAnsi="Times New Roman" w:eastAsia="Times New Roman"/>
          <w:sz w:val="21"/>
        </w:rPr>
        <w:t>Atölye Sonrası Değerlendirme Formu ve Sonuç Özeti</w:t>
      </w:r>
    </w:p>
    <w:p>
      <w:pPr>
        <w:pStyle w:val="ListBullet"/>
        <w:spacing w:after="40"/>
        <w:ind w:left="340"/>
      </w:pPr>
      <w:r>
        <w:rPr>
          <w:rFonts w:ascii="Times New Roman" w:hAnsi="Times New Roman" w:eastAsia="Times New Roman"/>
          <w:sz w:val="21"/>
        </w:rPr>
        <w:t>Akademik Etik ve Yapay Zekâ Kullanımı Eğitimi Planı</w:t>
      </w:r>
    </w:p>
    <w:p>
      <w:pPr>
        <w:pStyle w:val="ListBullet"/>
        <w:spacing w:after="40"/>
        <w:ind w:left="340"/>
      </w:pPr>
      <w:r>
        <w:rPr>
          <w:rFonts w:ascii="Times New Roman" w:hAnsi="Times New Roman" w:eastAsia="Times New Roman"/>
          <w:sz w:val="21"/>
        </w:rPr>
        <w:t>Yayın Süreçleri ve Güvenilir Dergi Seçimi Eğitimi Planı</w:t>
      </w:r>
    </w:p>
    <w:p>
      <w:pPr>
        <w:pStyle w:val="Heading1"/>
        <w:spacing w:before="160" w:after="60"/>
      </w:pPr>
      <w:r>
        <w:rPr>
          <w:rFonts w:ascii="Times New Roman" w:hAnsi="Times New Roman" w:eastAsia="Times New Roman"/>
          <w:b/>
          <w:color w:val="1F4E79"/>
        </w:rPr>
        <w:t>11. Sonuç</w:t>
      </w:r>
    </w:p>
    <w:p>
      <w:pPr>
        <w:pStyle w:val="BodyText"/>
        <w:spacing w:line="252" w:lineRule="auto" w:after="100"/>
        <w:jc w:val="both"/>
      </w:pPr>
      <w:r>
        <w:rPr>
          <w:rFonts w:ascii="Times New Roman" w:hAnsi="Times New Roman" w:eastAsia="Times New Roman"/>
          <w:sz w:val="22"/>
        </w:rPr>
        <w:t>Eğitim değerlendirme sonuçları, katılımcıların eğitimi genel olarak yararlı ve uygulanabilir bulduğunu göstermektedir. Bununla birlikte, tez danışmanlığı süreçlerinde düzenli izleme ve geri bildirim mekanizmalarının güçlendirilmesi, tez önerisi ve araştırma planlama konularının uygulamalı çalışmalarla desteklenmesi, akademik etik ve yapay zekâ kullanımına ilişkin eğitimlerin düzenli hale getirilmesi ve yayın süreçleri konusunda öğretim elemanlarına destek sağlanması yönünde iyileştirme ihtiyacı tespit edilmiştir.</w:t>
      </w:r>
    </w:p>
    <w:p>
      <w:pPr>
        <w:pStyle w:val="BodyText"/>
        <w:spacing w:line="252" w:lineRule="auto" w:after="100"/>
        <w:jc w:val="both"/>
      </w:pPr>
      <w:r>
        <w:rPr>
          <w:rFonts w:ascii="Times New Roman" w:hAnsi="Times New Roman" w:eastAsia="Times New Roman"/>
          <w:sz w:val="22"/>
        </w:rPr>
        <w:t>Belirlenen iyileştirme kararlarının uygulanması ve kanıtlarıyla birlikte izlenmesi, eğitim faaliyetinin kalite güvencesi döngüsü içinde değerlendirilmesine ve sonraki eğitimlerin daha etkili biçimde planlanmasına katkı sağlayacaktır.</w:t>
      </w:r>
    </w:p>
    <w:sectPr w:rsidR="00FC693F" w:rsidRPr="0006063C" w:rsidSect="00034616">
      <w:footerReference w:type="default" r:id="rId9"/>
      <w:pgSz w:w="11906" w:h="16838"/>
      <w:pgMar w:top="1020"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595959"/>
        <w:sz w:val="16"/>
      </w:rPr>
      <w:t>Yakın Doğu Üniversitesi İletişim Fakültesi - İyileştirme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Times New Roman" w:hAnsi="Times New Roman" w:eastAsia="Times New Roman"/>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Times New Roman" w:hAnsi="Times New Roman" w:eastAsia="Times New Roman"/>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