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Yakın Doğu Üniversitesi</w:t>
        <w:br w:type="textWrapping"/>
        <w:t xml:space="preserve">İletişim Fakültesi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bCs w:val="1"/>
          <w:color w:val="1f4e79"/>
          <w:sz w:val="40"/>
          <w:szCs w:val="40"/>
          <w:rtl w:val="0"/>
        </w:rPr>
        <w:t xml:space="preserve">Akademisyen Öz Değerlendirme Anketi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Anket Sonuçları Raporu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Hazırlanma tarihi: 16 Haziran 2026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r w:rsidDel="00000000" w:rsidR="00000000" w:rsidRPr="00000000">
        <w:rPr>
          <w:rtl w:val="0"/>
        </w:rPr>
        <w:t xml:space="preserve">1. Kapsam ve yöntem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Bu rapor, akademisyen öz değerlendirme formundan elde edilen 19 geçerli yanıtın betimsel analizine dayanmaktadır. Ölçek maddeleri 1–5 aralığında puanlanmıştır. Açık uçlu yanıtlar tematik olarak özetlenmiştir.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Bazı maddeler olumlu yeterlik/katılımı, bazı maddeler ise ihtiyaç, zorluk veya iş yükünü ölçmektedir. Bu nedenle yüksek puanlar her maddede aynı yönde yorumlanmamıştır; ihtiyaç/zorluk maddeleri ayrı değerlendirilmiştir.</w:t>
      </w:r>
    </w:p>
    <w:p w:rsidR="00000000" w:rsidDel="00000000" w:rsidP="00000000" w:rsidRDefault="00000000" w:rsidRPr="00000000" w14:paraId="0000000B">
      <w:pPr>
        <w:pStyle w:val="Heading1"/>
        <w:rPr/>
      </w:pPr>
      <w:r w:rsidDel="00000000" w:rsidR="00000000" w:rsidRPr="00000000">
        <w:rPr>
          <w:rtl w:val="0"/>
        </w:rPr>
        <w:t xml:space="preserve">2. Katılımcı profili</w:t>
      </w:r>
    </w:p>
    <w:tbl>
      <w:tblPr>
        <w:tblStyle w:val="Table1"/>
        <w:tblW w:w="10224.0" w:type="dxa"/>
        <w:jc w:val="center"/>
        <w:tblBorders>
          <w:top w:color="d9e2f3" w:space="0" w:sz="4" w:val="single"/>
          <w:left w:color="d9e2f3" w:space="0" w:sz="4" w:val="single"/>
          <w:bottom w:color="d9e2f3" w:space="0" w:sz="4" w:val="single"/>
          <w:right w:color="d9e2f3" w:space="0" w:sz="4" w:val="single"/>
          <w:insideH w:color="d9e2f3" w:space="0" w:sz="4" w:val="single"/>
          <w:insideV w:color="d9e2f3" w:space="0" w:sz="4" w:val="single"/>
        </w:tblBorders>
        <w:tblLayout w:type="fixed"/>
        <w:tblLook w:val="0400"/>
      </w:tblPr>
      <w:tblGrid>
        <w:gridCol w:w="5112"/>
        <w:gridCol w:w="5112"/>
        <w:tblGridChange w:id="0">
          <w:tblGrid>
            <w:gridCol w:w="5112"/>
            <w:gridCol w:w="5112"/>
          </w:tblGrid>
        </w:tblGridChange>
      </w:tblGrid>
      <w:tr>
        <w:trPr>
          <w:cantSplit w:val="0"/>
          <w:tblHeader w:val="1"/>
        </w:trPr>
        <w:tc>
          <w:tcPr>
            <w:shd w:fill="1f4e79" w:val="clear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Ünvan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9" w:val="clear"/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Yardımcı Doçent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Öğretim Görevlisi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Doçent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Doktor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24.0" w:type="dxa"/>
        <w:jc w:val="center"/>
        <w:tblBorders>
          <w:top w:color="d9e2f3" w:space="0" w:sz="4" w:val="single"/>
          <w:left w:color="d9e2f3" w:space="0" w:sz="4" w:val="single"/>
          <w:bottom w:color="d9e2f3" w:space="0" w:sz="4" w:val="single"/>
          <w:right w:color="d9e2f3" w:space="0" w:sz="4" w:val="single"/>
          <w:insideH w:color="d9e2f3" w:space="0" w:sz="4" w:val="single"/>
          <w:insideV w:color="d9e2f3" w:space="0" w:sz="4" w:val="single"/>
        </w:tblBorders>
        <w:tblLayout w:type="fixed"/>
        <w:tblLook w:val="0400"/>
      </w:tblPr>
      <w:tblGrid>
        <w:gridCol w:w="5112"/>
        <w:gridCol w:w="5112"/>
        <w:tblGridChange w:id="0">
          <w:tblGrid>
            <w:gridCol w:w="5112"/>
            <w:gridCol w:w="5112"/>
          </w:tblGrid>
        </w:tblGridChange>
      </w:tblGrid>
      <w:tr>
        <w:trPr>
          <w:cantSplit w:val="0"/>
          <w:tblHeader w:val="1"/>
        </w:trPr>
        <w:tc>
          <w:tcPr>
            <w:shd w:fill="1f4e79" w:val="clear"/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Dönem ifadesi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9" w:val="clear"/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Güz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2025-2026 GÜZ DÖNEMİ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2025-2026 GÜZ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GÜZ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2025-26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BAHAR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25-26 Güz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Style w:val="Heading1"/>
        <w:rPr/>
      </w:pPr>
      <w:r w:rsidDel="00000000" w:rsidR="00000000" w:rsidRPr="00000000">
        <w:rPr>
          <w:rtl w:val="0"/>
        </w:rPr>
        <w:t xml:space="preserve">3. Genel bulgular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Olumlu/yeterlik yönlü maddelerde ortalama 3,89 / 5 düzeyindedir.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Ders planlama, ders içeriklerini bilimsel-teknolojik gelişmelere göre güncelleme ve akademik kurul toplantılarına katılım en güçlü alanlar arasındadır.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Proje üretme/fon alma/bilimsel toplantı sunumu, komisyon görevlerinin akademik gelişime katkısı ve yayın üretiminde zaman yönetimi görece zayıf alanlardır.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İhtiyaç/zorluk maddelerinde ortalama 3,28 / 5 düzeyindedir; özellikle idari iş yükü ve zaman yönetimi açık uçlu yanıtlarla da desteklenen bir temadır.</w:t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5669280" cy="366713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6671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5669280" cy="355996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559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rPr/>
      </w:pPr>
      <w:r w:rsidDel="00000000" w:rsidR="00000000" w:rsidRPr="00000000">
        <w:rPr>
          <w:rtl w:val="0"/>
        </w:rPr>
        <w:t xml:space="preserve">4. Madde bazlı özet</w:t>
      </w:r>
    </w:p>
    <w:tbl>
      <w:tblPr>
        <w:tblStyle w:val="Table3"/>
        <w:tblW w:w="10227.0" w:type="dxa"/>
        <w:jc w:val="center"/>
        <w:tblBorders>
          <w:top w:color="d9e2f3" w:space="0" w:sz="4" w:val="single"/>
          <w:left w:color="d9e2f3" w:space="0" w:sz="4" w:val="single"/>
          <w:bottom w:color="d9e2f3" w:space="0" w:sz="4" w:val="single"/>
          <w:right w:color="d9e2f3" w:space="0" w:sz="4" w:val="single"/>
          <w:insideH w:color="d9e2f3" w:space="0" w:sz="4" w:val="single"/>
          <w:insideV w:color="d9e2f3" w:space="0" w:sz="4" w:val="single"/>
        </w:tblBorders>
        <w:tblLayout w:type="fixed"/>
        <w:tblLook w:val="0400"/>
      </w:tblPr>
      <w:tblGrid>
        <w:gridCol w:w="1461"/>
        <w:gridCol w:w="1461"/>
        <w:gridCol w:w="1461"/>
        <w:gridCol w:w="1461"/>
        <w:gridCol w:w="1461"/>
        <w:gridCol w:w="1461"/>
        <w:gridCol w:w="1461"/>
        <w:tblGridChange w:id="0">
          <w:tblGrid>
            <w:gridCol w:w="1461"/>
            <w:gridCol w:w="1461"/>
            <w:gridCol w:w="1461"/>
            <w:gridCol w:w="1461"/>
            <w:gridCol w:w="1461"/>
            <w:gridCol w:w="1461"/>
            <w:gridCol w:w="1461"/>
          </w:tblGrid>
        </w:tblGridChange>
      </w:tblGrid>
      <w:tr>
        <w:trPr>
          <w:cantSplit w:val="0"/>
          <w:tblHeader w:val="1"/>
        </w:trPr>
        <w:tc>
          <w:tcPr>
            <w:shd w:fill="1f4e79" w:val="clear"/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5"/>
                <w:szCs w:val="15"/>
                <w:rtl w:val="0"/>
              </w:rPr>
              <w:t xml:space="preserve">Madde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9" w:val="clear"/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5"/>
                <w:szCs w:val="15"/>
                <w:rtl w:val="0"/>
              </w:rPr>
              <w:t xml:space="preserve">İfade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9" w:val="clear"/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5"/>
                <w:szCs w:val="15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9" w:val="clear"/>
            <w:vAlign w:val="top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5"/>
                <w:szCs w:val="15"/>
                <w:rtl w:val="0"/>
              </w:rPr>
              <w:t xml:space="preserve">Ort.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9" w:val="clear"/>
            <w:vAlign w:val="top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5"/>
                <w:szCs w:val="15"/>
                <w:rtl w:val="0"/>
              </w:rPr>
              <w:t xml:space="preserve">Katılım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9" w:val="clear"/>
            <w:vAlign w:val="top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5"/>
                <w:szCs w:val="15"/>
                <w:rtl w:val="0"/>
              </w:rPr>
              <w:t xml:space="preserve">Kısmen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9" w:val="clear"/>
            <w:vAlign w:val="top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5"/>
                <w:szCs w:val="15"/>
                <w:rtl w:val="0"/>
              </w:rPr>
              <w:t xml:space="preserve">Katılmama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Derslerimi önceden planlarım.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4,68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94,7%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5,3%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0,0%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Derslerimi hedef ve çıktılarla ilişkilendiririm.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4,53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84,2%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15,8%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0,0%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Öğrenci merkezli ve katılımcı yöntemler kullanırım.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4,37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84,2%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5,3%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10,5%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Öğrencilerden düzenli geri bildirim alırım.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4,21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78,9%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5,3%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15,8%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Dijital öğrenme araçlarını etkin bir şekilde kullanırım.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3,84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68,4%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21,1%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10,5%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Akademik araştırmalarda güncel yaklaşımları takip ederim.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4,37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84,2%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15,8%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0,0%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Ulusal hakemli dergilerde yayınlarım bulunmaktadır.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3,53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57,9%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15,8%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26,3%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Uluslararası hakemli dergilerde yayınlarım bulunmaktadır.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3,32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52,6%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15,8%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31,6%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Ulusal/uluslararası hakemli dergilerde yayınlarım bulunmaktadır.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3,63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63,2%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15,8%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21,1%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Proje üretme, fon alma ya da bilimsel toplantılarda sunum yapma konusunda aktifim.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2,89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36,8%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15,8%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47,4%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Yayın yapma süreciyle ilgili rehberlik ya da mentorluk ihtiyacı duyuyorum.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2,74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26,3%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26,3%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47,4%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Yayın yaparken en çok zorlandığım alan, dergi seçimi ve değerlendirme sürecidir.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3,11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36,8%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31,6%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31,6%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Disiplinler arası projelerde görev alma isteğim yüksektir.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47,4%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15,8%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36,8%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Bölüm, fakülte veya üniversite düzeyinde komisyon veya görevlerde aktifim.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3,95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73,7%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5,3%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21,1%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Karar süreçlerine yapıcı katkı sunarım.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84,2%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5,3%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10,5%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Bölüm, fakülte veya üniversite düzeyinde komisyon ya da kurullarda görev aldım.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68,4%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15,8%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15,8%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Karar alma süreçlerine yapıcı katkı sunduğumu düşünüyorum.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3,95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63,2%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21,1%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15,8%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Akademik kurul toplantılarına düzenli olarak katılırım.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4,42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89,5%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10,5%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0,0%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İdari birimlerde ki görevlerim oldukça fazla.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3,84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57,9%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26,3%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15,8%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Komisyon ve/veya kurullarda görev almak akademik gelişimimi destekliyor.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2,58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31,6%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10,5%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57,9%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İdari görevlerde iş yükü ve zaman yönetimi konularında desteğe ihtiyacım var.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3,53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47,4%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26,3%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26,3%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Ders içeriklerimi bilimsel ve teknolojik gelişmelere göre güncelliyorum.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4,63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100,0%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0,0%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0,0%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Bilimsel yayın üretme sürecinde zaman yönetimi konusunda yeterliyim.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3,11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31,6%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36,8%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31,6%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Alanımda bilimsel bilgi üretimine katkı sunduğumu düşünüyorum.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3,47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57,9%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26,3%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15,8%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Ders dışında öğrencilere bilimsel danışmanlık yapmaktan memnuniyet duyarım.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84,2%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5,3%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10,5%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Toplum yararına projelerde yer alırım.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78,9%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10,5%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10,5%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Alanımla ilgili kamusal etkinliklerde (panel, seminer, röportaj vb.) yer alırım.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89,5%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5,3%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5,3%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Mesleki gelişimime zaman ayırırım.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4,26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68,4%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31,6%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0,0%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Dijital araç ve uygulamaları mesleki gelişimim için kullanırım.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4,47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78,9%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21,1%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0,0%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Mesleki gelişim için zaman ayırmakta zorlanıyorum.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3,21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36,8%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31,6%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31,6%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Mesleki gelişimle ilgili üniversitemdeki olanakları yeterli buluyorum.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3,32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52,6%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26,3%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21,1%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pStyle w:val="Heading1"/>
        <w:rPr/>
      </w:pPr>
      <w:r w:rsidDel="00000000" w:rsidR="00000000" w:rsidRPr="00000000">
        <w:rPr>
          <w:rtl w:val="0"/>
        </w:rPr>
        <w:t xml:space="preserve">5. Açık uçlu yanıtların tematik özeti</w:t>
      </w:r>
    </w:p>
    <w:tbl>
      <w:tblPr>
        <w:tblStyle w:val="Table4"/>
        <w:tblW w:w="10224.0" w:type="dxa"/>
        <w:jc w:val="center"/>
        <w:tblBorders>
          <w:top w:color="d9e2f3" w:space="0" w:sz="4" w:val="single"/>
          <w:left w:color="d9e2f3" w:space="0" w:sz="4" w:val="single"/>
          <w:bottom w:color="d9e2f3" w:space="0" w:sz="4" w:val="single"/>
          <w:right w:color="d9e2f3" w:space="0" w:sz="4" w:val="single"/>
          <w:insideH w:color="d9e2f3" w:space="0" w:sz="4" w:val="single"/>
          <w:insideV w:color="d9e2f3" w:space="0" w:sz="4" w:val="single"/>
        </w:tblBorders>
        <w:tblLayout w:type="fixed"/>
        <w:tblLook w:val="0400"/>
      </w:tblPr>
      <w:tblGrid>
        <w:gridCol w:w="5112"/>
        <w:gridCol w:w="5112"/>
        <w:tblGridChange w:id="0">
          <w:tblGrid>
            <w:gridCol w:w="5112"/>
            <w:gridCol w:w="5112"/>
          </w:tblGrid>
        </w:tblGridChange>
      </w:tblGrid>
      <w:tr>
        <w:trPr>
          <w:cantSplit w:val="0"/>
          <w:tblHeader w:val="1"/>
        </w:trPr>
        <w:tc>
          <w:tcPr>
            <w:shd w:fill="1f4e79" w:val="clear"/>
            <w:vAlign w:val="top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f4e79" w:val="clear"/>
            <w:vAlign w:val="top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Kodlanan yanıt sayısı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İdari iş yükü ve zaman yönetimi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Akademik araştırma/yayın için zaman ve imkan ihtiyacı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Teknik/dijital/sekreterlik-asistanlık destek ihtiyacı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Genel memnuniyet / işi sahiplenme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Düzen/planlama süreçlerinde iyileştirme ihtiyacı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Not: Bir açık uçlu yanıt birden fazla temaya kodlanabilmiştir.</w:t>
      </w:r>
    </w:p>
    <w:p w:rsidR="00000000" w:rsidDel="00000000" w:rsidP="00000000" w:rsidRDefault="00000000" w:rsidRPr="00000000" w14:paraId="0000011F">
      <w:pPr>
        <w:pStyle w:val="Heading1"/>
        <w:rPr/>
      </w:pPr>
      <w:r w:rsidDel="00000000" w:rsidR="00000000" w:rsidRPr="00000000">
        <w:rPr>
          <w:rtl w:val="0"/>
        </w:rPr>
        <w:t xml:space="preserve">6. Sonuç ve öneriler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Ders planlama ve içerik güncelleme alanındaki güçlü pratikler korunmalı; bu iyi uygulamalar bölüm/fakülte düzeyinde paylaşılmalıdır.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Araştırma, yayın ve proje üretimi için zaman yönetimi, mentorluk ve proje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başvurusu desteği içeren yapılandırılmış bir akademik gelişim programı kurulmalıdır.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İdari görev dağılımı, komisyon yükleri ve teknik/sekreterlik destek süreçleri gözden geçirilmelidir.</w:t>
      </w:r>
    </w:p>
    <w:sectPr>
      <w:footerReference r:id="rId9" w:type="default"/>
      <w:pgSz w:h="15840" w:w="12240" w:orient="portrait"/>
      <w:pgMar w:bottom="936" w:top="936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Anket Raporu | Yakın Doğu Üniversitesi İletişim Fakültesi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1f4e79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2f5597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b w:val="1"/>
      <w:bCs w:val="1"/>
      <w:color w:val="1f4e79"/>
      <w:sz w:val="40"/>
      <w:szCs w:val="40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TNj0xw8dkKo2ftHdrVMb+zW3GQ==">CgMxLjA4AHIhMWpORkRDVWNWQXRLczAzU3ExMXZuOWcyOFBFZmxHd2dx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